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C58C6" w14:textId="6BC28047" w:rsidR="00E90E49" w:rsidRPr="00CE0424" w:rsidRDefault="00AE2834" w:rsidP="00E35559">
      <w:pPr>
        <w:pStyle w:val="3GPPHeader"/>
        <w:spacing w:after="60"/>
        <w:rPr>
          <w:sz w:val="32"/>
          <w:szCs w:val="32"/>
          <w:highlight w:val="yellow"/>
        </w:rPr>
      </w:pPr>
      <w:bookmarkStart w:id="0" w:name="_Hlk506199150"/>
      <w:bookmarkStart w:id="1" w:name="_GoBack"/>
      <w:bookmarkEnd w:id="1"/>
      <w:r w:rsidRPr="000A1D33">
        <w:rPr>
          <w:lang w:val="en-US"/>
        </w:rPr>
        <w:t>3GPP TSG-RAN WG1 Meeting #</w:t>
      </w:r>
      <w:r w:rsidR="005F6C57">
        <w:rPr>
          <w:lang w:val="en-US"/>
        </w:rPr>
        <w:t>9</w:t>
      </w:r>
      <w:r w:rsidR="00127635">
        <w:rPr>
          <w:lang w:val="en-US"/>
        </w:rPr>
        <w:t>2</w:t>
      </w:r>
      <w:r w:rsidR="00E90E49" w:rsidRPr="00CE0424">
        <w:tab/>
      </w:r>
      <w:r w:rsidR="00E90E49" w:rsidRPr="00CE0424">
        <w:rPr>
          <w:sz w:val="32"/>
          <w:szCs w:val="32"/>
        </w:rPr>
        <w:t xml:space="preserve">Tdoc </w:t>
      </w:r>
      <w:r w:rsidR="00091557" w:rsidRPr="00CE0424">
        <w:rPr>
          <w:sz w:val="32"/>
          <w:szCs w:val="32"/>
        </w:rPr>
        <w:t>R</w:t>
      </w:r>
      <w:r>
        <w:rPr>
          <w:sz w:val="32"/>
          <w:szCs w:val="32"/>
        </w:rPr>
        <w:t>1</w:t>
      </w:r>
      <w:r w:rsidR="00091557" w:rsidRPr="00CE0424">
        <w:rPr>
          <w:sz w:val="32"/>
          <w:szCs w:val="32"/>
        </w:rPr>
        <w:t>-</w:t>
      </w:r>
      <w:r w:rsidR="005F3025" w:rsidRPr="002A19DD">
        <w:rPr>
          <w:sz w:val="32"/>
          <w:szCs w:val="32"/>
        </w:rPr>
        <w:t>1</w:t>
      </w:r>
      <w:r w:rsidR="00CC0999" w:rsidRPr="002A19DD">
        <w:rPr>
          <w:sz w:val="32"/>
          <w:szCs w:val="32"/>
        </w:rPr>
        <w:t>8</w:t>
      </w:r>
      <w:r w:rsidR="002A19DD" w:rsidRPr="002A19DD">
        <w:rPr>
          <w:sz w:val="32"/>
          <w:szCs w:val="32"/>
        </w:rPr>
        <w:t>02927</w:t>
      </w:r>
    </w:p>
    <w:p w14:paraId="68D67F1E" w14:textId="7CD35E57" w:rsidR="00E90E49" w:rsidRPr="00CE0424" w:rsidRDefault="00127635" w:rsidP="00311702">
      <w:pPr>
        <w:pStyle w:val="3GPPHeader"/>
      </w:pPr>
      <w:r>
        <w:t>Athens, Greece, 26</w:t>
      </w:r>
      <w:r w:rsidRPr="00127635">
        <w:rPr>
          <w:vertAlign w:val="superscript"/>
        </w:rPr>
        <w:t>th</w:t>
      </w:r>
      <w:r>
        <w:t xml:space="preserve"> Feb – 2</w:t>
      </w:r>
      <w:r w:rsidRPr="00127635">
        <w:rPr>
          <w:vertAlign w:val="superscript"/>
        </w:rPr>
        <w:t>nd</w:t>
      </w:r>
      <w:r>
        <w:t xml:space="preserve"> March, 2018</w:t>
      </w:r>
      <w:bookmarkEnd w:id="0"/>
    </w:p>
    <w:p w14:paraId="07D77DEA" w14:textId="77777777" w:rsidR="00E90E49" w:rsidRPr="00CE0424" w:rsidRDefault="00E90E49" w:rsidP="00357380">
      <w:pPr>
        <w:pStyle w:val="3GPPHeader"/>
      </w:pPr>
    </w:p>
    <w:p w14:paraId="71062F94" w14:textId="37FBB418" w:rsidR="00E90E49" w:rsidRPr="00932539" w:rsidRDefault="00E90E49" w:rsidP="00311702">
      <w:pPr>
        <w:pStyle w:val="3GPPHeader"/>
        <w:rPr>
          <w:sz w:val="22"/>
          <w:szCs w:val="22"/>
          <w:lang w:val="en-US"/>
        </w:rPr>
      </w:pPr>
      <w:bookmarkStart w:id="2" w:name="_Hlk506199160"/>
      <w:r w:rsidRPr="00932539">
        <w:rPr>
          <w:sz w:val="22"/>
          <w:szCs w:val="22"/>
          <w:lang w:val="en-US"/>
        </w:rPr>
        <w:t>Agenda Item:</w:t>
      </w:r>
      <w:r w:rsidRPr="00932539">
        <w:rPr>
          <w:sz w:val="22"/>
          <w:szCs w:val="22"/>
          <w:lang w:val="en-US"/>
        </w:rPr>
        <w:tab/>
      </w:r>
      <w:r w:rsidR="0017078B" w:rsidRPr="00932539">
        <w:rPr>
          <w:sz w:val="22"/>
          <w:szCs w:val="22"/>
          <w:lang w:val="en-US"/>
        </w:rPr>
        <w:t>6.2.</w:t>
      </w:r>
      <w:r w:rsidR="00BB5EB8">
        <w:rPr>
          <w:sz w:val="22"/>
          <w:szCs w:val="22"/>
          <w:lang w:val="en-US"/>
        </w:rPr>
        <w:t>1</w:t>
      </w:r>
    </w:p>
    <w:p w14:paraId="155C3C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7A6453" w14:textId="3E04B3EE"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BB5EB8">
        <w:rPr>
          <w:sz w:val="22"/>
          <w:szCs w:val="22"/>
        </w:rPr>
        <w:t>sTTI</w:t>
      </w:r>
      <w:r w:rsidR="008838AC">
        <w:rPr>
          <w:sz w:val="22"/>
          <w:szCs w:val="22"/>
        </w:rPr>
        <w:t xml:space="preserve"> and SPT</w:t>
      </w:r>
      <w:r w:rsidR="00BB5EB8">
        <w:rPr>
          <w:sz w:val="22"/>
          <w:szCs w:val="22"/>
        </w:rPr>
        <w:t xml:space="preserve"> terminology</w:t>
      </w:r>
    </w:p>
    <w:p w14:paraId="0867847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586">
        <w:rPr>
          <w:sz w:val="22"/>
          <w:szCs w:val="22"/>
        </w:rPr>
        <w:t>Discussion, Decision</w:t>
      </w:r>
      <w:bookmarkEnd w:id="2"/>
    </w:p>
    <w:p w14:paraId="0650B70D" w14:textId="77777777" w:rsidR="00E90E49" w:rsidRPr="00CE0424" w:rsidRDefault="00E90E49" w:rsidP="00E90E49"/>
    <w:p w14:paraId="618B1296" w14:textId="77777777" w:rsidR="00E90E49" w:rsidRPr="00CE0424" w:rsidRDefault="00E90E49" w:rsidP="00CE0424">
      <w:pPr>
        <w:pStyle w:val="Heading1"/>
      </w:pPr>
      <w:r w:rsidRPr="00CE0424">
        <w:t>Introduction</w:t>
      </w:r>
    </w:p>
    <w:p w14:paraId="2F54EC6B" w14:textId="3D3894A5" w:rsidR="00477768" w:rsidRDefault="00BB5EB8" w:rsidP="008C4635">
      <w:pPr>
        <w:rPr>
          <w:lang w:val="en-US"/>
        </w:rPr>
      </w:pPr>
      <w:bookmarkStart w:id="3" w:name="_Hlk506199205"/>
      <w:r>
        <w:rPr>
          <w:lang w:val="en-US"/>
        </w:rPr>
        <w:t>The sTTI WI was completed at RAN#78</w:t>
      </w:r>
      <w:r w:rsidR="004D62AC">
        <w:rPr>
          <w:lang w:val="en-US"/>
        </w:rPr>
        <w:t xml:space="preserve"> (core part set to 99%)</w:t>
      </w:r>
      <w:r>
        <w:rPr>
          <w:lang w:val="en-US"/>
        </w:rPr>
        <w:t xml:space="preserve">, see </w:t>
      </w:r>
      <w:r w:rsidR="004D62AC">
        <w:rPr>
          <w:lang w:val="en-US"/>
        </w:rPr>
        <w:fldChar w:fldCharType="begin"/>
      </w:r>
      <w:r w:rsidR="004D62AC">
        <w:rPr>
          <w:lang w:val="en-US"/>
        </w:rPr>
        <w:instrText xml:space="preserve"> REF _Ref506195254 \r \h </w:instrText>
      </w:r>
      <w:r w:rsidR="004D62AC">
        <w:rPr>
          <w:lang w:val="en-US"/>
        </w:rPr>
      </w:r>
      <w:r w:rsidR="004D62AC">
        <w:rPr>
          <w:lang w:val="en-US"/>
        </w:rPr>
        <w:fldChar w:fldCharType="separate"/>
      </w:r>
      <w:r w:rsidR="00546428">
        <w:rPr>
          <w:lang w:val="en-US"/>
        </w:rPr>
        <w:t>[1]</w:t>
      </w:r>
      <w:r w:rsidR="004D62AC">
        <w:rPr>
          <w:lang w:val="en-US"/>
        </w:rPr>
        <w:fldChar w:fldCharType="end"/>
      </w:r>
      <w:r w:rsidR="004D62AC">
        <w:rPr>
          <w:lang w:val="en-US"/>
        </w:rPr>
        <w:t xml:space="preserve"> and </w:t>
      </w:r>
      <w:r w:rsidR="004D62AC">
        <w:rPr>
          <w:lang w:val="en-US"/>
        </w:rPr>
        <w:fldChar w:fldCharType="begin"/>
      </w:r>
      <w:r w:rsidR="004D62AC">
        <w:rPr>
          <w:lang w:val="en-US"/>
        </w:rPr>
        <w:instrText xml:space="preserve"> REF _Ref506195289 \r \h </w:instrText>
      </w:r>
      <w:r w:rsidR="004D62AC">
        <w:rPr>
          <w:lang w:val="en-US"/>
        </w:rPr>
      </w:r>
      <w:r w:rsidR="004D62AC">
        <w:rPr>
          <w:lang w:val="en-US"/>
        </w:rPr>
        <w:fldChar w:fldCharType="separate"/>
      </w:r>
      <w:r w:rsidR="00546428">
        <w:rPr>
          <w:lang w:val="en-US"/>
        </w:rPr>
        <w:t>[3]</w:t>
      </w:r>
      <w:r w:rsidR="004D62AC">
        <w:rPr>
          <w:lang w:val="en-US"/>
        </w:rPr>
        <w:fldChar w:fldCharType="end"/>
      </w:r>
      <w:r>
        <w:rPr>
          <w:lang w:val="en-US"/>
        </w:rPr>
        <w:t>.</w:t>
      </w:r>
      <w:r w:rsidR="004D62AC">
        <w:rPr>
          <w:lang w:val="en-US"/>
        </w:rPr>
        <w:t xml:space="preserve"> The work item was also described in the WI summary, </w:t>
      </w:r>
      <w:r w:rsidR="004D62AC">
        <w:rPr>
          <w:lang w:val="en-US"/>
        </w:rPr>
        <w:fldChar w:fldCharType="begin"/>
      </w:r>
      <w:r w:rsidR="004D62AC">
        <w:rPr>
          <w:lang w:val="en-US"/>
        </w:rPr>
        <w:instrText xml:space="preserve"> REF _Ref506195314 \r \h </w:instrText>
      </w:r>
      <w:r w:rsidR="004D62AC">
        <w:rPr>
          <w:lang w:val="en-US"/>
        </w:rPr>
      </w:r>
      <w:r w:rsidR="004D62AC">
        <w:rPr>
          <w:lang w:val="en-US"/>
        </w:rPr>
        <w:fldChar w:fldCharType="separate"/>
      </w:r>
      <w:r w:rsidR="00546428">
        <w:rPr>
          <w:lang w:val="en-US"/>
        </w:rPr>
        <w:t>[2]</w:t>
      </w:r>
      <w:r w:rsidR="004D62AC">
        <w:rPr>
          <w:lang w:val="en-US"/>
        </w:rPr>
        <w:fldChar w:fldCharType="end"/>
      </w:r>
      <w:r w:rsidR="004D62AC">
        <w:rPr>
          <w:lang w:val="en-US"/>
        </w:rPr>
        <w:t>.</w:t>
      </w:r>
    </w:p>
    <w:p w14:paraId="036FDF9A" w14:textId="28904E73" w:rsidR="004D62AC" w:rsidRDefault="004D62AC" w:rsidP="008C4635">
      <w:pPr>
        <w:rPr>
          <w:lang w:val="en-US"/>
        </w:rPr>
      </w:pPr>
      <w:r>
        <w:rPr>
          <w:lang w:val="en-US"/>
        </w:rPr>
        <w:t xml:space="preserve">This document discusses the terminology used in the different specifications and attempts to align the terminology </w:t>
      </w:r>
      <w:r w:rsidR="000241F8">
        <w:rPr>
          <w:lang w:val="en-US"/>
        </w:rPr>
        <w:t>to get a consistent feature description</w:t>
      </w:r>
      <w:bookmarkEnd w:id="3"/>
      <w:r>
        <w:rPr>
          <w:lang w:val="en-US"/>
        </w:rPr>
        <w:t>.</w:t>
      </w:r>
    </w:p>
    <w:p w14:paraId="468342A1" w14:textId="73722593" w:rsidR="00650BD6" w:rsidRDefault="00650BD6" w:rsidP="00CE0424">
      <w:pPr>
        <w:pStyle w:val="Heading1"/>
      </w:pPr>
      <w:bookmarkStart w:id="4" w:name="_Ref505093524"/>
      <w:r>
        <w:t>Discussion</w:t>
      </w:r>
      <w:bookmarkEnd w:id="4"/>
    </w:p>
    <w:p w14:paraId="6C770033" w14:textId="28C6C647" w:rsidR="00E5720C" w:rsidRDefault="004B6446" w:rsidP="00FD05E9">
      <w:pPr>
        <w:pStyle w:val="Heading2"/>
      </w:pPr>
      <w:r>
        <w:t>Feature configuration</w:t>
      </w:r>
    </w:p>
    <w:p w14:paraId="7A4328FE" w14:textId="6FE97565" w:rsidR="0015673F" w:rsidRDefault="0015673F" w:rsidP="00E5720C">
      <w:pPr>
        <w:pStyle w:val="Heading3"/>
      </w:pPr>
      <w:r>
        <w:t>SPT</w:t>
      </w:r>
    </w:p>
    <w:p w14:paraId="00804CA7" w14:textId="1954A7F0" w:rsidR="0015673F" w:rsidRDefault="0015673F" w:rsidP="0015673F">
      <w:r>
        <w:t xml:space="preserve">If a UE is configured with short processing time, the specifications should refer to it by the RRC parameter configuring the feature. Different references are currently used (including not referring to the RRC specification). </w:t>
      </w:r>
    </w:p>
    <w:p w14:paraId="550954A5" w14:textId="5D3E5DCB" w:rsidR="0015673F" w:rsidRDefault="0015673F" w:rsidP="0015673F">
      <w:r>
        <w:t xml:space="preserve">The configuration of </w:t>
      </w:r>
      <w:r w:rsidR="00F64624">
        <w:t>SPT</w:t>
      </w:r>
      <w:r>
        <w:t xml:space="preserve"> looks in the RRC specification like:</w:t>
      </w:r>
    </w:p>
    <w:p w14:paraId="71F6A068" w14:textId="77777777" w:rsidR="003F6E32" w:rsidRDefault="003F6E32" w:rsidP="003F6E32">
      <w:pPr>
        <w:pStyle w:val="PL"/>
        <w:shd w:val="clear" w:color="auto" w:fill="E6E6E6"/>
        <w:rPr>
          <w:lang w:eastAsia="zh-CN"/>
        </w:rPr>
      </w:pPr>
      <w:r>
        <w:rPr>
          <w:lang w:eastAsia="zh-CN"/>
        </w:rPr>
        <w:tab/>
        <w:t>[[</w:t>
      </w:r>
      <w:r>
        <w:rPr>
          <w:lang w:eastAsia="zh-CN"/>
        </w:rPr>
        <w:tab/>
        <w:t>shortProcessingTime-r15</w:t>
      </w:r>
      <w:r>
        <w:rPr>
          <w:lang w:eastAsia="zh-CN"/>
        </w:rPr>
        <w:tab/>
      </w:r>
      <w:r>
        <w:rPr>
          <w:lang w:eastAsia="zh-CN"/>
        </w:rPr>
        <w:tab/>
      </w:r>
      <w:r>
        <w:rPr>
          <w:lang w:eastAsia="zh-CN"/>
        </w:rPr>
        <w:tab/>
      </w:r>
      <w:r>
        <w:rPr>
          <w:lang w:eastAsia="zh-CN"/>
        </w:rPr>
        <w:tab/>
        <w:t>BOOLEAN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 -- Need ON</w:t>
      </w:r>
    </w:p>
    <w:p w14:paraId="3CA11A6D" w14:textId="37B59C6A" w:rsidR="00F64624" w:rsidRDefault="00F64624" w:rsidP="0015673F"/>
    <w:p w14:paraId="4D3E68F2" w14:textId="448C4E3D" w:rsidR="003F6E32" w:rsidRDefault="003F6E32" w:rsidP="0015673F">
      <w:r>
        <w:t>It is hence proposed to refer to the RRC parameter “</w:t>
      </w:r>
      <w:r w:rsidRPr="00F62196">
        <w:rPr>
          <w:i/>
        </w:rPr>
        <w:t>Short</w:t>
      </w:r>
      <w:r>
        <w:rPr>
          <w:i/>
        </w:rPr>
        <w:t>ProcessingTime</w:t>
      </w:r>
      <w:r w:rsidRPr="00F62196">
        <w:rPr>
          <w:i/>
        </w:rPr>
        <w:t>-r15</w:t>
      </w:r>
      <w:r>
        <w:t>” for the configuration of the feature.</w:t>
      </w:r>
    </w:p>
    <w:p w14:paraId="391C0878" w14:textId="757B6E1D" w:rsidR="003F6E32" w:rsidRPr="00E5720C" w:rsidRDefault="003F6E32" w:rsidP="003F6E32">
      <w:pPr>
        <w:pStyle w:val="Proposal"/>
      </w:pPr>
      <w:bookmarkStart w:id="5" w:name="_Toc506203535"/>
      <w:bookmarkStart w:id="6" w:name="_Toc506209993"/>
      <w:bookmarkStart w:id="7" w:name="_Toc506210438"/>
      <w:bookmarkStart w:id="8" w:name="_Toc506213998"/>
      <w:bookmarkStart w:id="9" w:name="_Toc506559003"/>
      <w:bookmarkStart w:id="10" w:name="_Toc506559013"/>
      <w:r>
        <w:t xml:space="preserve">When referring to </w:t>
      </w:r>
      <w:r w:rsidRPr="003F6E32">
        <w:t>short processing time</w:t>
      </w:r>
      <w:r>
        <w:t xml:space="preserve"> being configured, the RRC parameter “</w:t>
      </w:r>
      <w:r w:rsidRPr="00F62196">
        <w:rPr>
          <w:i/>
        </w:rPr>
        <w:t>Short</w:t>
      </w:r>
      <w:r>
        <w:rPr>
          <w:i/>
        </w:rPr>
        <w:t>ProcessingTime</w:t>
      </w:r>
      <w:r w:rsidRPr="00F62196">
        <w:rPr>
          <w:i/>
        </w:rPr>
        <w:t>-r15</w:t>
      </w:r>
      <w:r>
        <w:t>” should be referred to.</w:t>
      </w:r>
      <w:bookmarkEnd w:id="5"/>
      <w:bookmarkEnd w:id="6"/>
      <w:bookmarkEnd w:id="7"/>
      <w:bookmarkEnd w:id="8"/>
      <w:bookmarkEnd w:id="9"/>
      <w:bookmarkEnd w:id="10"/>
      <w:r>
        <w:t xml:space="preserve"> </w:t>
      </w:r>
    </w:p>
    <w:p w14:paraId="30D656A1" w14:textId="65AEB42E" w:rsidR="00E5720C" w:rsidRDefault="00E5720C" w:rsidP="00E5720C">
      <w:pPr>
        <w:pStyle w:val="Heading3"/>
      </w:pPr>
      <w:r>
        <w:t>sTTI</w:t>
      </w:r>
    </w:p>
    <w:p w14:paraId="32337713" w14:textId="113BC81B" w:rsidR="00F62196" w:rsidRDefault="00E5720C" w:rsidP="00E5720C">
      <w:r>
        <w:t xml:space="preserve">If a UE </w:t>
      </w:r>
      <w:r w:rsidR="004B6446">
        <w:t xml:space="preserve">is configured with </w:t>
      </w:r>
      <w:r>
        <w:t xml:space="preserve">sTTI, the </w:t>
      </w:r>
      <w:r w:rsidR="004B6446">
        <w:t xml:space="preserve">specifications should refer to it by the RRC parameter configuring the feature. Different references are currently used (including not referring to the RRC specification). </w:t>
      </w:r>
    </w:p>
    <w:p w14:paraId="3D78730C" w14:textId="446E7DA0" w:rsidR="00F62196" w:rsidRDefault="00F62196" w:rsidP="00E5720C">
      <w:r>
        <w:t>The configuration of sTTI looks in the RRC specification like:</w:t>
      </w:r>
    </w:p>
    <w:p w14:paraId="251A3ABC" w14:textId="77777777" w:rsidR="00F62196" w:rsidRDefault="00F62196" w:rsidP="00F62196">
      <w:pPr>
        <w:pStyle w:val="PL"/>
        <w:shd w:val="clear" w:color="auto" w:fill="E6E6E6"/>
      </w:pPr>
      <w:r>
        <w:t>S</w:t>
      </w:r>
      <w:r>
        <w:rPr>
          <w:lang w:eastAsia="zh-CN"/>
        </w:rPr>
        <w:t>hortTTI-r15 ::=</w:t>
      </w:r>
      <w:r>
        <w:rPr>
          <w:lang w:eastAsia="zh-CN"/>
        </w:rPr>
        <w:tab/>
      </w:r>
      <w:r>
        <w:rPr>
          <w:lang w:eastAsia="zh-CN"/>
        </w:rPr>
        <w:tab/>
      </w:r>
      <w:r>
        <w:rPr>
          <w:lang w:eastAsia="zh-CN"/>
        </w:rPr>
        <w:tab/>
      </w:r>
      <w:r>
        <w:rPr>
          <w:lang w:eastAsia="zh-CN"/>
        </w:rPr>
        <w:tab/>
      </w:r>
      <w:r>
        <w:rPr>
          <w:lang w:eastAsia="zh-CN"/>
        </w:rPr>
        <w:tab/>
      </w:r>
      <w:r>
        <w:t>SEQUENCE {</w:t>
      </w:r>
    </w:p>
    <w:p w14:paraId="7A4BF6DD" w14:textId="77777777" w:rsidR="00F62196" w:rsidRDefault="00F62196" w:rsidP="00F62196">
      <w:pPr>
        <w:pStyle w:val="PL"/>
        <w:shd w:val="clear" w:color="auto" w:fill="E6E6E6"/>
      </w:pPr>
      <w:r>
        <w:tab/>
        <w:t>dl-TTI-Length-r15</w:t>
      </w:r>
      <w:r>
        <w:tab/>
      </w:r>
      <w:r>
        <w:tab/>
      </w:r>
      <w:r>
        <w:tab/>
      </w:r>
      <w:r>
        <w:tab/>
      </w:r>
      <w:r>
        <w:tab/>
        <w:t>ShortTTI-Length-r15</w:t>
      </w:r>
      <w:r w:rsidRPr="00913414">
        <w:rPr>
          <w:lang w:eastAsia="zh-CN"/>
        </w:rPr>
        <w:t xml:space="preserve"> </w:t>
      </w:r>
      <w:r>
        <w:rPr>
          <w:lang w:eastAsia="zh-CN"/>
        </w:rPr>
        <w:tab/>
      </w:r>
      <w:r>
        <w:rPr>
          <w:lang w:eastAsia="zh-CN"/>
        </w:rPr>
        <w:tab/>
        <w:t>OPTIONAL,</w:t>
      </w:r>
    </w:p>
    <w:p w14:paraId="4F4A81CF" w14:textId="77777777" w:rsidR="00F62196" w:rsidRDefault="00F62196" w:rsidP="00F62196">
      <w:pPr>
        <w:pStyle w:val="PL"/>
        <w:shd w:val="clear" w:color="auto" w:fill="E6E6E6"/>
        <w:rPr>
          <w:lang w:eastAsia="zh-CN"/>
        </w:rPr>
      </w:pPr>
      <w:r>
        <w:tab/>
      </w:r>
      <w:r>
        <w:rPr>
          <w:lang w:eastAsia="zh-CN"/>
        </w:rPr>
        <w:t>ul-TTI-Length-r15</w:t>
      </w:r>
      <w:r>
        <w:rPr>
          <w:lang w:eastAsia="zh-CN"/>
        </w:rPr>
        <w:tab/>
      </w:r>
      <w:r>
        <w:rPr>
          <w:lang w:eastAsia="zh-CN"/>
        </w:rPr>
        <w:tab/>
      </w:r>
      <w:r>
        <w:rPr>
          <w:lang w:eastAsia="zh-CN"/>
        </w:rPr>
        <w:tab/>
      </w:r>
      <w:r>
        <w:rPr>
          <w:lang w:eastAsia="zh-CN"/>
        </w:rPr>
        <w:tab/>
      </w:r>
      <w:r>
        <w:rPr>
          <w:lang w:eastAsia="zh-CN"/>
        </w:rPr>
        <w:tab/>
      </w:r>
      <w:r>
        <w:t xml:space="preserve">ShortTTI-Length-r15 </w:t>
      </w:r>
      <w:r>
        <w:tab/>
      </w:r>
      <w:r>
        <w:tab/>
      </w:r>
      <w:r>
        <w:rPr>
          <w:lang w:eastAsia="zh-CN"/>
        </w:rPr>
        <w:t>OPTIONAL,</w:t>
      </w:r>
    </w:p>
    <w:p w14:paraId="7862B00C" w14:textId="77777777" w:rsidR="00F62196" w:rsidRDefault="00F62196" w:rsidP="00F62196">
      <w:pPr>
        <w:pStyle w:val="PL"/>
        <w:shd w:val="clear" w:color="auto" w:fill="E6E6E6"/>
        <w:rPr>
          <w:lang w:eastAsia="zh-CN"/>
        </w:rPr>
      </w:pPr>
      <w:r>
        <w:rPr>
          <w:lang w:eastAsia="zh-CN"/>
        </w:rPr>
        <w:tab/>
        <w:t>proc-TimeAdv-r15</w:t>
      </w:r>
      <w:r>
        <w:rPr>
          <w:lang w:eastAsia="zh-CN"/>
        </w:rPr>
        <w:tab/>
      </w:r>
      <w:r>
        <w:rPr>
          <w:lang w:eastAsia="zh-CN"/>
        </w:rPr>
        <w:tab/>
      </w:r>
      <w:r>
        <w:rPr>
          <w:lang w:eastAsia="zh-CN"/>
        </w:rPr>
        <w:tab/>
      </w:r>
      <w:r>
        <w:rPr>
          <w:lang w:eastAsia="zh-CN"/>
        </w:rPr>
        <w:tab/>
      </w:r>
      <w:r>
        <w:rPr>
          <w:lang w:eastAsia="zh-CN"/>
        </w:rPr>
        <w:tab/>
        <w:t xml:space="preserve">ENUMERATED {nplus4set1, nplus6set1, </w:t>
      </w:r>
    </w:p>
    <w:p w14:paraId="7D08B1FE" w14:textId="77777777" w:rsidR="00F62196" w:rsidRDefault="00F62196" w:rsidP="00F62196">
      <w:pPr>
        <w:pStyle w:val="PL"/>
        <w:shd w:val="clear" w:color="auto" w:fill="E6E6E6"/>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nplus6set2, nplus8set2 }</w:t>
      </w:r>
      <w:r>
        <w:rPr>
          <w:lang w:eastAsia="zh-CN"/>
        </w:rPr>
        <w:tab/>
        <w:t>OPTIONAL,</w:t>
      </w:r>
    </w:p>
    <w:p w14:paraId="51A1645E" w14:textId="77777777" w:rsidR="00F62196" w:rsidRDefault="00F62196" w:rsidP="00F62196">
      <w:pPr>
        <w:pStyle w:val="PL"/>
        <w:shd w:val="clear" w:color="auto" w:fill="E6E6E6"/>
        <w:rPr>
          <w:lang w:eastAsia="zh-CN"/>
        </w:rPr>
      </w:pPr>
      <w:r>
        <w:rPr>
          <w:lang w:eastAsia="zh-CN"/>
        </w:rPr>
        <w:tab/>
        <w:t>s</w:t>
      </w:r>
      <w:r>
        <w:t>sr-ProhibitTimer-r15</w:t>
      </w:r>
      <w:r>
        <w:tab/>
      </w:r>
      <w:r>
        <w:tab/>
      </w:r>
      <w:r>
        <w:tab/>
      </w:r>
      <w:r>
        <w:tab/>
      </w:r>
      <w:r w:rsidRPr="00A9351C">
        <w:t>INTE</w:t>
      </w:r>
      <w:r>
        <w:t>GER (0..7)</w:t>
      </w:r>
      <w:r>
        <w:tab/>
      </w:r>
      <w:r>
        <w:tab/>
      </w:r>
      <w:r>
        <w:tab/>
      </w:r>
      <w:r>
        <w:tab/>
        <w:t>OPTIONAL</w:t>
      </w:r>
    </w:p>
    <w:p w14:paraId="3794572C" w14:textId="77777777" w:rsidR="00F62196" w:rsidRDefault="00F62196" w:rsidP="00F62196">
      <w:pPr>
        <w:pStyle w:val="PL"/>
        <w:shd w:val="clear" w:color="auto" w:fill="E6E6E6"/>
        <w:rPr>
          <w:lang w:eastAsia="zh-CN"/>
        </w:rPr>
      </w:pPr>
      <w:r>
        <w:rPr>
          <w:lang w:eastAsia="zh-CN"/>
        </w:rPr>
        <w:t>}</w:t>
      </w:r>
    </w:p>
    <w:p w14:paraId="50E0F179" w14:textId="77777777" w:rsidR="00F62196" w:rsidRDefault="00F62196" w:rsidP="00F62196">
      <w:pPr>
        <w:pStyle w:val="PL"/>
        <w:shd w:val="clear" w:color="auto" w:fill="E6E6E6"/>
      </w:pPr>
    </w:p>
    <w:p w14:paraId="609C9B87" w14:textId="77777777" w:rsidR="00F62196" w:rsidRPr="00A9351C" w:rsidRDefault="00F62196" w:rsidP="00F62196">
      <w:pPr>
        <w:pStyle w:val="PL"/>
        <w:shd w:val="clear" w:color="auto" w:fill="E6E6E6"/>
      </w:pPr>
      <w:r>
        <w:t>ShortTTI-Length-r15 ::=</w:t>
      </w:r>
      <w:r>
        <w:tab/>
      </w:r>
      <w:r>
        <w:tab/>
      </w:r>
      <w:r>
        <w:tab/>
      </w:r>
      <w:r>
        <w:tab/>
        <w:t>ENUMERATED {slot, subslot}</w:t>
      </w:r>
    </w:p>
    <w:p w14:paraId="5DD64295" w14:textId="77777777" w:rsidR="00F62196" w:rsidRDefault="00F62196" w:rsidP="00E5720C"/>
    <w:p w14:paraId="532E87F0" w14:textId="4D81A209" w:rsidR="004B6446" w:rsidRDefault="00F62196" w:rsidP="00E5720C">
      <w:r>
        <w:t>It is hence proposed to refer to the RRC parameter “</w:t>
      </w:r>
      <w:r w:rsidRPr="00F62196">
        <w:rPr>
          <w:i/>
        </w:rPr>
        <w:t>ShortTTI-r15</w:t>
      </w:r>
      <w:r>
        <w:t>” for the configuration of the feature and “</w:t>
      </w:r>
      <w:r w:rsidRPr="00F62196">
        <w:rPr>
          <w:i/>
        </w:rPr>
        <w:t>ShortTTI</w:t>
      </w:r>
      <w:r>
        <w:rPr>
          <w:i/>
        </w:rPr>
        <w:t>-Length</w:t>
      </w:r>
      <w:r w:rsidRPr="00F62196">
        <w:rPr>
          <w:i/>
        </w:rPr>
        <w:t>-r15</w:t>
      </w:r>
      <w:r>
        <w:t>” for referring to a specific configuration of subslot / slot.</w:t>
      </w:r>
    </w:p>
    <w:p w14:paraId="01321847" w14:textId="676586B3" w:rsidR="00F62196" w:rsidRPr="00E5720C" w:rsidRDefault="00F178F0" w:rsidP="00F178F0">
      <w:pPr>
        <w:pStyle w:val="Proposal"/>
      </w:pPr>
      <w:bookmarkStart w:id="11" w:name="_Toc506203536"/>
      <w:bookmarkStart w:id="12" w:name="_Toc506209994"/>
      <w:bookmarkStart w:id="13" w:name="_Toc506210439"/>
      <w:bookmarkStart w:id="14" w:name="_Toc506213999"/>
      <w:bookmarkStart w:id="15" w:name="_Toc506559004"/>
      <w:bookmarkStart w:id="16" w:name="_Toc506559014"/>
      <w:r>
        <w:t>When referring to sTTI being configured, the RRC parameter “</w:t>
      </w:r>
      <w:r w:rsidRPr="00F62196">
        <w:rPr>
          <w:i/>
        </w:rPr>
        <w:t>ShortTTI-r15</w:t>
      </w:r>
      <w:r>
        <w:t>” should be referred to. For referring to a given sTTI length, “</w:t>
      </w:r>
      <w:r w:rsidRPr="00F62196">
        <w:rPr>
          <w:i/>
        </w:rPr>
        <w:t>ShortTTI</w:t>
      </w:r>
      <w:r>
        <w:rPr>
          <w:i/>
        </w:rPr>
        <w:t>-Length</w:t>
      </w:r>
      <w:r w:rsidRPr="00F62196">
        <w:rPr>
          <w:i/>
        </w:rPr>
        <w:t>-r15</w:t>
      </w:r>
      <w:r>
        <w:t>” should be used.</w:t>
      </w:r>
      <w:bookmarkEnd w:id="11"/>
      <w:bookmarkEnd w:id="12"/>
      <w:bookmarkEnd w:id="13"/>
      <w:bookmarkEnd w:id="14"/>
      <w:bookmarkEnd w:id="15"/>
      <w:bookmarkEnd w:id="16"/>
    </w:p>
    <w:p w14:paraId="0F043322" w14:textId="6B2E5B71" w:rsidR="00C865F0" w:rsidRDefault="00C865F0" w:rsidP="00FD05E9">
      <w:pPr>
        <w:pStyle w:val="Heading2"/>
      </w:pPr>
      <w:r>
        <w:t>Frame structure</w:t>
      </w:r>
    </w:p>
    <w:p w14:paraId="6E993153" w14:textId="42B03E45" w:rsidR="00C8391E" w:rsidRDefault="00C8391E" w:rsidP="00C8391E">
      <w:pPr>
        <w:pStyle w:val="Heading3"/>
      </w:pPr>
      <w:r>
        <w:t>Subslot number</w:t>
      </w:r>
    </w:p>
    <w:p w14:paraId="7E51C4FD" w14:textId="6EFBB860" w:rsidR="00C8391E" w:rsidRDefault="00190A15" w:rsidP="00C8391E">
      <w:r>
        <w:t>To identify a certain subframe or slot, the specifications refer to a ‘subframe number’ or ‘slot number’. The same should be followed for subslot, but in some cases ‘subslot index’ is used, referring to the same thing.</w:t>
      </w:r>
    </w:p>
    <w:p w14:paraId="49DD3D70" w14:textId="4CB53E4A" w:rsidR="00381C5D" w:rsidRDefault="00381C5D" w:rsidP="00C8391E">
      <w:r>
        <w:t>This impacts specifications 36.</w:t>
      </w:r>
      <w:r w:rsidRPr="002A19DD">
        <w:t>211, 36.213</w:t>
      </w:r>
      <w:r>
        <w:t>.</w:t>
      </w:r>
    </w:p>
    <w:p w14:paraId="73FF5C1E" w14:textId="30F4F704" w:rsidR="00190A15" w:rsidRDefault="00190A15" w:rsidP="00190A15">
      <w:pPr>
        <w:pStyle w:val="Proposal"/>
      </w:pPr>
      <w:bookmarkStart w:id="17" w:name="_Toc506203537"/>
      <w:bookmarkStart w:id="18" w:name="_Toc506209995"/>
      <w:bookmarkStart w:id="19" w:name="_Toc506210440"/>
      <w:bookmarkStart w:id="20" w:name="_Toc506214000"/>
      <w:bookmarkStart w:id="21" w:name="_Toc506559005"/>
      <w:bookmarkStart w:id="22" w:name="_Toc506559015"/>
      <w:r>
        <w:t>Change ‘subslot index’ -&gt; ‘subslot number’</w:t>
      </w:r>
      <w:bookmarkEnd w:id="17"/>
      <w:bookmarkEnd w:id="18"/>
      <w:bookmarkEnd w:id="19"/>
      <w:bookmarkEnd w:id="20"/>
      <w:bookmarkEnd w:id="21"/>
      <w:bookmarkEnd w:id="22"/>
    </w:p>
    <w:p w14:paraId="7D187A66" w14:textId="70DB54AF" w:rsidR="00FD05E9" w:rsidRDefault="000241F8" w:rsidP="00FD05E9">
      <w:pPr>
        <w:pStyle w:val="Heading2"/>
      </w:pPr>
      <w:r>
        <w:t>Physical channels</w:t>
      </w:r>
    </w:p>
    <w:p w14:paraId="294CB6BC" w14:textId="2DEDCD1C" w:rsidR="00E010B4" w:rsidRDefault="00750CA3" w:rsidP="00750CA3">
      <w:pPr>
        <w:pStyle w:val="Heading3"/>
      </w:pPr>
      <w:r>
        <w:t>SPDCCH</w:t>
      </w:r>
    </w:p>
    <w:p w14:paraId="2ACB7C57" w14:textId="77777777" w:rsidR="00381C5D" w:rsidRDefault="00EC3986" w:rsidP="00750CA3">
      <w:r>
        <w:t xml:space="preserve">The short physical downlink control channel (SPDCCH) was in the discussion phase of the WI often referred to sPDCCH, while in the specification it was later following existing naming convention used with a capital ‘S’, i.e. SPDCCH. The latter should be used throughout the specifications. </w:t>
      </w:r>
    </w:p>
    <w:p w14:paraId="16E276ED" w14:textId="3BCFB7D0" w:rsidR="00750CA3" w:rsidRDefault="00EC3986" w:rsidP="00750CA3">
      <w:r>
        <w:t>This impacts specifications 36.</w:t>
      </w:r>
      <w:r w:rsidRPr="00972FAF">
        <w:t>211.</w:t>
      </w:r>
    </w:p>
    <w:p w14:paraId="7D896581" w14:textId="626C2D95" w:rsidR="00EC3986" w:rsidRDefault="00EC3986" w:rsidP="00EC3986">
      <w:pPr>
        <w:pStyle w:val="Proposal"/>
      </w:pPr>
      <w:bookmarkStart w:id="23" w:name="_Toc506203538"/>
      <w:bookmarkStart w:id="24" w:name="_Toc506209996"/>
      <w:bookmarkStart w:id="25" w:name="_Toc506210441"/>
      <w:bookmarkStart w:id="26" w:name="_Toc506214001"/>
      <w:bookmarkStart w:id="27" w:name="_Toc506559006"/>
      <w:bookmarkStart w:id="28" w:name="_Toc506559016"/>
      <w:r>
        <w:t>Change sPDCCH -&gt; SPDCCH</w:t>
      </w:r>
      <w:bookmarkEnd w:id="23"/>
      <w:bookmarkEnd w:id="24"/>
      <w:bookmarkEnd w:id="25"/>
      <w:bookmarkEnd w:id="26"/>
      <w:bookmarkEnd w:id="27"/>
      <w:bookmarkEnd w:id="28"/>
    </w:p>
    <w:p w14:paraId="6B1D8697" w14:textId="1AEB4692" w:rsidR="00682DD6" w:rsidRDefault="00682DD6" w:rsidP="00682DD6">
      <w:r>
        <w:t>Similarly to the use of lowe</w:t>
      </w:r>
      <w:r w:rsidR="00EA7302">
        <w:t>r</w:t>
      </w:r>
      <w:r>
        <w:t xml:space="preserve"> case ‘s’, for sPDCCH is the use of it in </w:t>
      </w:r>
      <w:r w:rsidR="003A4699">
        <w:t>sREG and sCCE which should both be capitalized based on the defi</w:t>
      </w:r>
      <w:r w:rsidR="00EA7302">
        <w:t>ni</w:t>
      </w:r>
      <w:r w:rsidR="003A4699">
        <w:t>tion.</w:t>
      </w:r>
    </w:p>
    <w:p w14:paraId="4EFF08F5" w14:textId="50C4C17C" w:rsidR="00E621FA" w:rsidRDefault="00E621FA" w:rsidP="00682DD6">
      <w:r>
        <w:t>This impacts specifications 36.</w:t>
      </w:r>
      <w:r w:rsidRPr="00972FAF">
        <w:t>211.</w:t>
      </w:r>
    </w:p>
    <w:p w14:paraId="71D96513" w14:textId="56032077" w:rsidR="003A4699" w:rsidRDefault="003A4699" w:rsidP="003A4699">
      <w:pPr>
        <w:pStyle w:val="Proposal"/>
      </w:pPr>
      <w:bookmarkStart w:id="29" w:name="_Toc506209997"/>
      <w:bookmarkStart w:id="30" w:name="_Toc506210442"/>
      <w:bookmarkStart w:id="31" w:name="_Toc506214002"/>
      <w:bookmarkStart w:id="32" w:name="_Toc506559007"/>
      <w:bookmarkStart w:id="33" w:name="_Toc506559017"/>
      <w:r>
        <w:t>Change sREG -&gt; SREG</w:t>
      </w:r>
      <w:bookmarkEnd w:id="29"/>
      <w:bookmarkEnd w:id="30"/>
      <w:bookmarkEnd w:id="31"/>
      <w:bookmarkEnd w:id="32"/>
      <w:bookmarkEnd w:id="33"/>
    </w:p>
    <w:p w14:paraId="51014CAC" w14:textId="58F30882" w:rsidR="003A4699" w:rsidRDefault="003A4699" w:rsidP="003A4699">
      <w:pPr>
        <w:pStyle w:val="Proposal"/>
      </w:pPr>
      <w:bookmarkStart w:id="34" w:name="_Toc506209998"/>
      <w:bookmarkStart w:id="35" w:name="_Toc506210443"/>
      <w:bookmarkStart w:id="36" w:name="_Toc506214003"/>
      <w:bookmarkStart w:id="37" w:name="_Toc506559008"/>
      <w:bookmarkStart w:id="38" w:name="_Toc506559018"/>
      <w:r>
        <w:t>Change sCCE -&gt; SCCE</w:t>
      </w:r>
      <w:bookmarkEnd w:id="34"/>
      <w:bookmarkEnd w:id="35"/>
      <w:bookmarkEnd w:id="36"/>
      <w:bookmarkEnd w:id="37"/>
      <w:bookmarkEnd w:id="38"/>
    </w:p>
    <w:p w14:paraId="621F0478" w14:textId="21EFB6D8" w:rsidR="00F31515" w:rsidRDefault="00F31515" w:rsidP="00F31515">
      <w:r>
        <w:t xml:space="preserve">The notion of SPDCCH ‘RB set’ was used in the WI phase to refer to the resource set configured for the DL control. Since the control is not mapped to resource blocks, this is a misleading term. In 3GPP TS 36.211 referring to only the frequency domain size of a resource allocation, the term ‘resource block in frequency domain’ is sometimes used. This has also been used in 3GPP TS 36.331 for the SPDCCH configuration. </w:t>
      </w:r>
      <w:r w:rsidR="00365A7C">
        <w:t xml:space="preserve">The description </w:t>
      </w:r>
      <w:r w:rsidR="008863AF">
        <w:t>seems somewhat lengthy to use though. It is proposed to simply call it “SPDCCH resource set”</w:t>
      </w:r>
      <w:r w:rsidR="00744365">
        <w:t>, or simply ‘SPDCCH set’,</w:t>
      </w:r>
      <w:r w:rsidR="008863AF">
        <w:t xml:space="preserve"> which has been already used in 3GPP TS 36.211 an</w:t>
      </w:r>
      <w:r w:rsidR="00365A7C">
        <w:t>d, to a large extent, in</w:t>
      </w:r>
      <w:r w:rsidR="008863AF">
        <w:t xml:space="preserve"> 36.331.</w:t>
      </w:r>
      <w:r w:rsidR="00B1742E">
        <w:t xml:space="preserve"> This is also similar to the NR term used for control resource set (CORESET).</w:t>
      </w:r>
    </w:p>
    <w:p w14:paraId="04464F58" w14:textId="639293DA" w:rsidR="003376D2" w:rsidRDefault="003376D2" w:rsidP="00F31515">
      <w:r>
        <w:t xml:space="preserve">This impacts specifications </w:t>
      </w:r>
      <w:r w:rsidR="00972FAF">
        <w:t xml:space="preserve">36.211, </w:t>
      </w:r>
      <w:r>
        <w:t>36</w:t>
      </w:r>
      <w:r w:rsidRPr="00972FAF">
        <w:t>.213.</w:t>
      </w:r>
    </w:p>
    <w:p w14:paraId="51B03F36" w14:textId="0378DF36" w:rsidR="00470650" w:rsidRDefault="00470650" w:rsidP="00F31515">
      <w:pPr>
        <w:pStyle w:val="Proposal"/>
      </w:pPr>
      <w:bookmarkStart w:id="39" w:name="_Toc506209999"/>
      <w:bookmarkStart w:id="40" w:name="_Toc506210444"/>
      <w:bookmarkStart w:id="41" w:name="_Toc506214004"/>
      <w:bookmarkStart w:id="42" w:name="_Toc506559009"/>
      <w:bookmarkStart w:id="43" w:name="_Toc506559019"/>
      <w:r>
        <w:t xml:space="preserve">Use the term ‘SPDCCH resource set’ </w:t>
      </w:r>
      <w:r w:rsidR="00191067">
        <w:t xml:space="preserve">or ‘SPDCCH set’ </w:t>
      </w:r>
      <w:r>
        <w:t>refer</w:t>
      </w:r>
      <w:r w:rsidR="00191067">
        <w:t>s</w:t>
      </w:r>
      <w:r>
        <w:t xml:space="preserve"> to the configured set of resources for SPDCCH</w:t>
      </w:r>
      <w:bookmarkEnd w:id="39"/>
      <w:bookmarkEnd w:id="40"/>
      <w:bookmarkEnd w:id="41"/>
      <w:bookmarkEnd w:id="42"/>
      <w:bookmarkEnd w:id="43"/>
    </w:p>
    <w:p w14:paraId="547B825F" w14:textId="5957B0EA" w:rsidR="007E429C" w:rsidRDefault="007E429C" w:rsidP="007E429C">
      <w:r>
        <w:t>The term aggregation level</w:t>
      </w:r>
      <w:r w:rsidR="00125B72">
        <w:t xml:space="preserve"> is not of use in 36.211 and instead different formats of the control channel is referred to. </w:t>
      </w:r>
      <w:r w:rsidR="00BE304A">
        <w:t>Although not aligned between specifications, it is good to keep consistency within the specification. It is hence proposed to avoid this term to keep the specification self-contained.</w:t>
      </w:r>
    </w:p>
    <w:p w14:paraId="142AEB56" w14:textId="2B5C274D" w:rsidR="00972FAF" w:rsidRDefault="00972FAF" w:rsidP="007E429C">
      <w:r>
        <w:t>This impacts specifications 36.211</w:t>
      </w:r>
      <w:r>
        <w:t>.</w:t>
      </w:r>
    </w:p>
    <w:p w14:paraId="203C7C4B" w14:textId="6AD48145" w:rsidR="00BE304A" w:rsidRDefault="0092477C" w:rsidP="0092477C">
      <w:pPr>
        <w:pStyle w:val="Proposal"/>
      </w:pPr>
      <w:bookmarkStart w:id="44" w:name="_Toc506210000"/>
      <w:bookmarkStart w:id="45" w:name="_Toc506210445"/>
      <w:bookmarkStart w:id="46" w:name="_Toc506214005"/>
      <w:bookmarkStart w:id="47" w:name="_Toc506559010"/>
      <w:bookmarkStart w:id="48" w:name="_Toc506559020"/>
      <w:r>
        <w:t xml:space="preserve">Use existing terminology in 36.211 </w:t>
      </w:r>
      <w:r w:rsidR="00781457">
        <w:t xml:space="preserve">for </w:t>
      </w:r>
      <w:r w:rsidR="00017107">
        <w:t xml:space="preserve">SPDCCH candidates </w:t>
      </w:r>
      <w:r>
        <w:t>instead of ‘aggregation level’</w:t>
      </w:r>
      <w:bookmarkEnd w:id="44"/>
      <w:bookmarkEnd w:id="45"/>
      <w:bookmarkEnd w:id="46"/>
      <w:bookmarkEnd w:id="47"/>
      <w:bookmarkEnd w:id="48"/>
    </w:p>
    <w:p w14:paraId="4FFD5422" w14:textId="358C0EC7" w:rsidR="00EC3986" w:rsidRDefault="00793FD1" w:rsidP="00793FD1">
      <w:pPr>
        <w:pStyle w:val="Heading3"/>
      </w:pPr>
      <w:r>
        <w:lastRenderedPageBreak/>
        <w:t>PDSCH/PUSCH</w:t>
      </w:r>
    </w:p>
    <w:p w14:paraId="591FAB5A" w14:textId="2A40C54B" w:rsidR="00793FD1" w:rsidRDefault="00390A1F" w:rsidP="00793FD1">
      <w:r>
        <w:t xml:space="preserve">In contrast to the control channels (SPDCCH and SPUCCH), the data channels have the same name in sTTI and regular LTE operation. If a certain transmission mode of the channels </w:t>
      </w:r>
      <w:r w:rsidR="00494E90">
        <w:t>is</w:t>
      </w:r>
      <w:r>
        <w:t xml:space="preserve"> referred to, different conventions are used in the current specifications</w:t>
      </w:r>
      <w:r w:rsidR="005D7B25">
        <w:t xml:space="preserve">, e.g. </w:t>
      </w:r>
      <w:r>
        <w:t>“subslot-based PDSCH”, “subslot-PDSCH”</w:t>
      </w:r>
      <w:r w:rsidR="005D7B25">
        <w:t>.</w:t>
      </w:r>
    </w:p>
    <w:p w14:paraId="465557D6" w14:textId="0129FD08" w:rsidR="00390A1F" w:rsidRDefault="00390A1F" w:rsidP="00793FD1">
      <w:r>
        <w:t>It is proposed that this is aligned to subslot-P[X]SCH and slot-P[X]SCH</w:t>
      </w:r>
      <w:r w:rsidR="005D7B25">
        <w:t xml:space="preserve"> where suitable to do so</w:t>
      </w:r>
      <w:r>
        <w:t xml:space="preserve">. </w:t>
      </w:r>
    </w:p>
    <w:p w14:paraId="49C64DE4" w14:textId="34528C1C" w:rsidR="00390A1F" w:rsidRDefault="00390A1F" w:rsidP="00793FD1">
      <w:r w:rsidRPr="00494E90">
        <w:t xml:space="preserve">This impacts specifications 36.211, </w:t>
      </w:r>
      <w:r w:rsidR="00494E90" w:rsidRPr="00494E90">
        <w:t>36.213</w:t>
      </w:r>
    </w:p>
    <w:p w14:paraId="124118D3" w14:textId="335D1A0D" w:rsidR="00390A1F" w:rsidRPr="00793FD1" w:rsidRDefault="00390A1F" w:rsidP="00390A1F">
      <w:pPr>
        <w:pStyle w:val="Proposal"/>
      </w:pPr>
      <w:bookmarkStart w:id="49" w:name="_Toc506203539"/>
      <w:bookmarkStart w:id="50" w:name="_Toc506210001"/>
      <w:bookmarkStart w:id="51" w:name="_Toc506210446"/>
      <w:bookmarkStart w:id="52" w:name="_Toc506214006"/>
      <w:bookmarkStart w:id="53" w:name="_Toc506559011"/>
      <w:bookmarkStart w:id="54" w:name="_Toc506559021"/>
      <w:r>
        <w:t>When referring to a slot or subslot long transmission of the data channels, it should be referred to as slot-PDSCH/slot-PUSCH/subslot-PDSCH/slot-PDSCH</w:t>
      </w:r>
      <w:bookmarkEnd w:id="49"/>
      <w:bookmarkEnd w:id="50"/>
      <w:bookmarkEnd w:id="51"/>
      <w:bookmarkEnd w:id="52"/>
      <w:r w:rsidR="0096073B">
        <w:t>, or alternatively ‘PDSCH/PUSCH with slot/subslot duration’</w:t>
      </w:r>
      <w:bookmarkEnd w:id="53"/>
      <w:bookmarkEnd w:id="54"/>
    </w:p>
    <w:p w14:paraId="68414FF5" w14:textId="454BB3AE" w:rsidR="00144B7D" w:rsidRDefault="00144B7D" w:rsidP="00144B7D">
      <w:pPr>
        <w:pStyle w:val="Heading2"/>
      </w:pPr>
      <w:r>
        <w:t>Other</w:t>
      </w:r>
    </w:p>
    <w:p w14:paraId="0438F9D3" w14:textId="36C4F7BD" w:rsidR="00E93B0B" w:rsidRDefault="00520C5A" w:rsidP="00E93B0B">
      <w:r>
        <w:t>When referring to ‘configured by higher layers’ the current specifications are often missing a reference to the specification where the parameter is configured, and the explicit parameter. This should be improved for the ease of reading the specification.</w:t>
      </w:r>
    </w:p>
    <w:p w14:paraId="3D60EEFE" w14:textId="11C72F1B" w:rsidR="00520C5A" w:rsidRPr="00E93B0B" w:rsidRDefault="00520C5A" w:rsidP="00520C5A">
      <w:pPr>
        <w:pStyle w:val="Proposal"/>
      </w:pPr>
      <w:bookmarkStart w:id="55" w:name="_Toc506210447"/>
      <w:bookmarkStart w:id="56" w:name="_Toc506214007"/>
      <w:bookmarkStart w:id="57" w:name="_Toc506559012"/>
      <w:bookmarkStart w:id="58" w:name="_Toc506559022"/>
      <w:r>
        <w:t xml:space="preserve">Where ‘higher layer parameters* are mentioned, the explicit parameter name should </w:t>
      </w:r>
      <w:r w:rsidR="007C563F">
        <w:t xml:space="preserve">preferably </w:t>
      </w:r>
      <w:r>
        <w:t>be referenced.</w:t>
      </w:r>
      <w:bookmarkEnd w:id="55"/>
      <w:bookmarkEnd w:id="56"/>
      <w:bookmarkEnd w:id="57"/>
      <w:bookmarkEnd w:id="58"/>
    </w:p>
    <w:p w14:paraId="6123E2A4" w14:textId="77777777" w:rsidR="00C01F33" w:rsidRPr="00CE0424" w:rsidRDefault="00C01F33" w:rsidP="00CE0424">
      <w:pPr>
        <w:pStyle w:val="Heading1"/>
      </w:pPr>
      <w:r w:rsidRPr="00CE0424">
        <w:t>Conclusion</w:t>
      </w:r>
    </w:p>
    <w:p w14:paraId="7594B84F" w14:textId="77777777" w:rsidR="00546428" w:rsidRDefault="00A87A8A" w:rsidP="008E065E">
      <w:pPr>
        <w:pStyle w:val="BodyText"/>
        <w:rPr>
          <w:noProof/>
        </w:rPr>
      </w:pPr>
      <w:r>
        <w:t xml:space="preserve">The discussion </w:t>
      </w:r>
      <w:r w:rsidR="008E065E" w:rsidRPr="00CE0424">
        <w:t xml:space="preserve">in section </w:t>
      </w:r>
      <w:r w:rsidR="002F1A86">
        <w:rPr>
          <w:highlight w:val="cyan"/>
        </w:rPr>
        <w:fldChar w:fldCharType="begin"/>
      </w:r>
      <w:r w:rsidR="002F1A86">
        <w:instrText xml:space="preserve"> REF _Ref505093524 \r \h </w:instrText>
      </w:r>
      <w:r w:rsidR="002F1A86">
        <w:rPr>
          <w:highlight w:val="cyan"/>
        </w:rPr>
      </w:r>
      <w:r w:rsidR="002F1A86">
        <w:rPr>
          <w:highlight w:val="cyan"/>
        </w:rPr>
        <w:fldChar w:fldCharType="separate"/>
      </w:r>
      <w:r w:rsidR="00546428">
        <w:t>2</w:t>
      </w:r>
      <w:r w:rsidR="002F1A86">
        <w:rPr>
          <w:highlight w:val="cyan"/>
        </w:rPr>
        <w:fldChar w:fldCharType="end"/>
      </w:r>
      <w:r w:rsidR="008E065E" w:rsidRPr="00CE0424">
        <w:t xml:space="preserve"> </w:t>
      </w:r>
      <w:r>
        <w:t>proposes the following</w:t>
      </w:r>
      <w:r w:rsidR="008E065E" w:rsidRPr="00CE0424">
        <w:t>:</w:t>
      </w:r>
      <w:r w:rsidR="008E065E">
        <w:rPr>
          <w:b/>
          <w:bCs/>
        </w:rPr>
        <w:fldChar w:fldCharType="begin"/>
      </w:r>
      <w:r w:rsidR="008E065E">
        <w:rPr>
          <w:b/>
          <w:bCs/>
        </w:rPr>
        <w:instrText xml:space="preserve"> TOC \f \n \p " " \t "Proposal;1" </w:instrText>
      </w:r>
      <w:r w:rsidR="008E065E">
        <w:rPr>
          <w:b/>
          <w:bCs/>
        </w:rPr>
        <w:fldChar w:fldCharType="separate"/>
      </w:r>
    </w:p>
    <w:p w14:paraId="656FAC47" w14:textId="77777777" w:rsidR="00546428" w:rsidRPr="00546428" w:rsidRDefault="00546428">
      <w:pPr>
        <w:pStyle w:val="TOC1"/>
        <w:rPr>
          <w:rFonts w:asciiTheme="minorHAnsi" w:eastAsiaTheme="minorEastAsia" w:hAnsiTheme="minorHAnsi" w:cstheme="minorBidi"/>
          <w:b w:val="0"/>
          <w:sz w:val="22"/>
          <w:lang w:eastAsia="sv-SE"/>
        </w:rPr>
      </w:pPr>
      <w:r>
        <w:t>Proposal 1</w:t>
      </w:r>
      <w:r w:rsidRPr="00546428">
        <w:rPr>
          <w:rFonts w:asciiTheme="minorHAnsi" w:eastAsiaTheme="minorEastAsia" w:hAnsiTheme="minorHAnsi" w:cstheme="minorBidi"/>
          <w:b w:val="0"/>
          <w:sz w:val="22"/>
          <w:lang w:eastAsia="sv-SE"/>
        </w:rPr>
        <w:tab/>
      </w:r>
      <w:r>
        <w:t>When referring to short processing time being configured, the RRC parameter “</w:t>
      </w:r>
      <w:r w:rsidRPr="00B7099E">
        <w:rPr>
          <w:i/>
        </w:rPr>
        <w:t>ShortProcessingTime-r15</w:t>
      </w:r>
      <w:r>
        <w:t>” should be referred to.</w:t>
      </w:r>
    </w:p>
    <w:p w14:paraId="08310A1F" w14:textId="77777777" w:rsidR="00546428" w:rsidRPr="00B36ED4" w:rsidRDefault="00546428">
      <w:pPr>
        <w:pStyle w:val="TOC1"/>
        <w:rPr>
          <w:rFonts w:asciiTheme="minorHAnsi" w:eastAsiaTheme="minorEastAsia" w:hAnsiTheme="minorHAnsi" w:cstheme="minorBidi"/>
          <w:b w:val="0"/>
          <w:sz w:val="22"/>
          <w:lang w:eastAsia="sv-SE"/>
        </w:rPr>
      </w:pPr>
      <w:r>
        <w:t>Proposal 2</w:t>
      </w:r>
      <w:r w:rsidRPr="00B36ED4">
        <w:rPr>
          <w:rFonts w:asciiTheme="minorHAnsi" w:eastAsiaTheme="minorEastAsia" w:hAnsiTheme="minorHAnsi" w:cstheme="minorBidi"/>
          <w:b w:val="0"/>
          <w:sz w:val="22"/>
          <w:lang w:eastAsia="sv-SE"/>
        </w:rPr>
        <w:tab/>
      </w:r>
      <w:r>
        <w:t>When referring to sTTI being configured, the RRC parameter “</w:t>
      </w:r>
      <w:r w:rsidRPr="00B7099E">
        <w:rPr>
          <w:i/>
        </w:rPr>
        <w:t>ShortTTI-r15</w:t>
      </w:r>
      <w:r>
        <w:t>” should be referred to. For referring to a given sTTI length, “</w:t>
      </w:r>
      <w:r w:rsidRPr="00B7099E">
        <w:rPr>
          <w:i/>
        </w:rPr>
        <w:t>ShortTTI-Length-r15</w:t>
      </w:r>
      <w:r>
        <w:t>” should be used.</w:t>
      </w:r>
    </w:p>
    <w:p w14:paraId="5C5DF112" w14:textId="77777777" w:rsidR="00546428" w:rsidRPr="00B36ED4" w:rsidRDefault="00546428">
      <w:pPr>
        <w:pStyle w:val="TOC1"/>
        <w:rPr>
          <w:rFonts w:asciiTheme="minorHAnsi" w:eastAsiaTheme="minorEastAsia" w:hAnsiTheme="minorHAnsi" w:cstheme="minorBidi"/>
          <w:b w:val="0"/>
          <w:sz w:val="22"/>
          <w:lang w:eastAsia="sv-SE"/>
        </w:rPr>
      </w:pPr>
      <w:r>
        <w:t>Proposal 3</w:t>
      </w:r>
      <w:r w:rsidRPr="00B36ED4">
        <w:rPr>
          <w:rFonts w:asciiTheme="minorHAnsi" w:eastAsiaTheme="minorEastAsia" w:hAnsiTheme="minorHAnsi" w:cstheme="minorBidi"/>
          <w:b w:val="0"/>
          <w:sz w:val="22"/>
          <w:lang w:eastAsia="sv-SE"/>
        </w:rPr>
        <w:tab/>
      </w:r>
      <w:r>
        <w:t>Change ‘subslot index’ -&gt; ‘subslot number’</w:t>
      </w:r>
    </w:p>
    <w:p w14:paraId="1AF62705" w14:textId="77777777" w:rsidR="00546428" w:rsidRPr="00B36ED4" w:rsidRDefault="00546428">
      <w:pPr>
        <w:pStyle w:val="TOC1"/>
        <w:rPr>
          <w:rFonts w:asciiTheme="minorHAnsi" w:eastAsiaTheme="minorEastAsia" w:hAnsiTheme="minorHAnsi" w:cstheme="minorBidi"/>
          <w:b w:val="0"/>
          <w:sz w:val="22"/>
          <w:lang w:eastAsia="sv-SE"/>
        </w:rPr>
      </w:pPr>
      <w:r>
        <w:t>Proposal 4</w:t>
      </w:r>
      <w:r w:rsidRPr="00B36ED4">
        <w:rPr>
          <w:rFonts w:asciiTheme="minorHAnsi" w:eastAsiaTheme="minorEastAsia" w:hAnsiTheme="minorHAnsi" w:cstheme="minorBidi"/>
          <w:b w:val="0"/>
          <w:sz w:val="22"/>
          <w:lang w:eastAsia="sv-SE"/>
        </w:rPr>
        <w:tab/>
      </w:r>
      <w:r>
        <w:t>Change sPDCCH -&gt; SPDCCH</w:t>
      </w:r>
    </w:p>
    <w:p w14:paraId="7043985F" w14:textId="77777777" w:rsidR="00546428" w:rsidRPr="00B36ED4" w:rsidRDefault="00546428">
      <w:pPr>
        <w:pStyle w:val="TOC1"/>
        <w:rPr>
          <w:rFonts w:asciiTheme="minorHAnsi" w:eastAsiaTheme="minorEastAsia" w:hAnsiTheme="minorHAnsi" w:cstheme="minorBidi"/>
          <w:b w:val="0"/>
          <w:sz w:val="22"/>
          <w:lang w:eastAsia="sv-SE"/>
        </w:rPr>
      </w:pPr>
      <w:r>
        <w:t>Proposal 5</w:t>
      </w:r>
      <w:r w:rsidRPr="00B36ED4">
        <w:rPr>
          <w:rFonts w:asciiTheme="minorHAnsi" w:eastAsiaTheme="minorEastAsia" w:hAnsiTheme="minorHAnsi" w:cstheme="minorBidi"/>
          <w:b w:val="0"/>
          <w:sz w:val="22"/>
          <w:lang w:eastAsia="sv-SE"/>
        </w:rPr>
        <w:tab/>
      </w:r>
      <w:r>
        <w:t>Change sREG -&gt; SREG</w:t>
      </w:r>
    </w:p>
    <w:p w14:paraId="6C395F22" w14:textId="77777777" w:rsidR="00546428" w:rsidRPr="00B36ED4" w:rsidRDefault="00546428">
      <w:pPr>
        <w:pStyle w:val="TOC1"/>
        <w:rPr>
          <w:rFonts w:asciiTheme="minorHAnsi" w:eastAsiaTheme="minorEastAsia" w:hAnsiTheme="minorHAnsi" w:cstheme="minorBidi"/>
          <w:b w:val="0"/>
          <w:sz w:val="22"/>
          <w:lang w:eastAsia="sv-SE"/>
        </w:rPr>
      </w:pPr>
      <w:r>
        <w:t>Proposal 6</w:t>
      </w:r>
      <w:r w:rsidRPr="00B36ED4">
        <w:rPr>
          <w:rFonts w:asciiTheme="minorHAnsi" w:eastAsiaTheme="minorEastAsia" w:hAnsiTheme="minorHAnsi" w:cstheme="minorBidi"/>
          <w:b w:val="0"/>
          <w:sz w:val="22"/>
          <w:lang w:eastAsia="sv-SE"/>
        </w:rPr>
        <w:tab/>
      </w:r>
      <w:r>
        <w:t>Change sCCE -&gt; SCCE</w:t>
      </w:r>
    </w:p>
    <w:p w14:paraId="70038778" w14:textId="77777777" w:rsidR="00546428" w:rsidRPr="00B36ED4" w:rsidRDefault="00546428">
      <w:pPr>
        <w:pStyle w:val="TOC1"/>
        <w:rPr>
          <w:rFonts w:asciiTheme="minorHAnsi" w:eastAsiaTheme="minorEastAsia" w:hAnsiTheme="minorHAnsi" w:cstheme="minorBidi"/>
          <w:b w:val="0"/>
          <w:sz w:val="22"/>
          <w:lang w:eastAsia="sv-SE"/>
        </w:rPr>
      </w:pPr>
      <w:r>
        <w:t>Proposal 7</w:t>
      </w:r>
      <w:r w:rsidRPr="00B36ED4">
        <w:rPr>
          <w:rFonts w:asciiTheme="minorHAnsi" w:eastAsiaTheme="minorEastAsia" w:hAnsiTheme="minorHAnsi" w:cstheme="minorBidi"/>
          <w:b w:val="0"/>
          <w:sz w:val="22"/>
          <w:lang w:eastAsia="sv-SE"/>
        </w:rPr>
        <w:tab/>
      </w:r>
      <w:r>
        <w:t>Use the term ‘SPDCCH resource set’ or ‘SPDCCH set’ refers to the configured set of resources for SPDCCH</w:t>
      </w:r>
    </w:p>
    <w:p w14:paraId="52710AFE" w14:textId="77777777" w:rsidR="00546428" w:rsidRPr="00B36ED4" w:rsidRDefault="00546428">
      <w:pPr>
        <w:pStyle w:val="TOC1"/>
        <w:rPr>
          <w:rFonts w:asciiTheme="minorHAnsi" w:eastAsiaTheme="minorEastAsia" w:hAnsiTheme="minorHAnsi" w:cstheme="minorBidi"/>
          <w:b w:val="0"/>
          <w:sz w:val="22"/>
          <w:lang w:eastAsia="sv-SE"/>
        </w:rPr>
      </w:pPr>
      <w:r>
        <w:t>Proposal 8</w:t>
      </w:r>
      <w:r w:rsidRPr="00B36ED4">
        <w:rPr>
          <w:rFonts w:asciiTheme="minorHAnsi" w:eastAsiaTheme="minorEastAsia" w:hAnsiTheme="minorHAnsi" w:cstheme="minorBidi"/>
          <w:b w:val="0"/>
          <w:sz w:val="22"/>
          <w:lang w:eastAsia="sv-SE"/>
        </w:rPr>
        <w:tab/>
      </w:r>
      <w:r>
        <w:t>Use existing terminology in 36.211 for SPDCCH candidates instead of ‘aggregation level’</w:t>
      </w:r>
    </w:p>
    <w:p w14:paraId="55BF8A9D" w14:textId="77777777" w:rsidR="00546428" w:rsidRPr="00B36ED4" w:rsidRDefault="00546428">
      <w:pPr>
        <w:pStyle w:val="TOC1"/>
        <w:rPr>
          <w:rFonts w:asciiTheme="minorHAnsi" w:eastAsiaTheme="minorEastAsia" w:hAnsiTheme="minorHAnsi" w:cstheme="minorBidi"/>
          <w:b w:val="0"/>
          <w:sz w:val="22"/>
          <w:lang w:eastAsia="sv-SE"/>
        </w:rPr>
      </w:pPr>
      <w:r>
        <w:t>Proposal 9</w:t>
      </w:r>
      <w:r w:rsidRPr="00B36ED4">
        <w:rPr>
          <w:rFonts w:asciiTheme="minorHAnsi" w:eastAsiaTheme="minorEastAsia" w:hAnsiTheme="minorHAnsi" w:cstheme="minorBidi"/>
          <w:b w:val="0"/>
          <w:sz w:val="22"/>
          <w:lang w:eastAsia="sv-SE"/>
        </w:rPr>
        <w:tab/>
      </w:r>
      <w:r>
        <w:t>When referring to a slot or subslot long transmission of the data channels, it should be referred to as slot-PDSCH/slot-PUSCH/subslot-PDSCH/slot-PDSCH, or alternatively ‘PDSCH/PUSCH with slot/subslot duration’</w:t>
      </w:r>
    </w:p>
    <w:p w14:paraId="303588CB" w14:textId="77777777" w:rsidR="00546428" w:rsidRPr="00B36ED4" w:rsidRDefault="00546428">
      <w:pPr>
        <w:pStyle w:val="TOC1"/>
        <w:rPr>
          <w:rFonts w:asciiTheme="minorHAnsi" w:eastAsiaTheme="minorEastAsia" w:hAnsiTheme="minorHAnsi" w:cstheme="minorBidi"/>
          <w:b w:val="0"/>
          <w:sz w:val="22"/>
          <w:lang w:eastAsia="sv-SE"/>
        </w:rPr>
      </w:pPr>
      <w:r>
        <w:t>Proposal 10</w:t>
      </w:r>
      <w:r w:rsidRPr="00B36ED4">
        <w:rPr>
          <w:rFonts w:asciiTheme="minorHAnsi" w:eastAsiaTheme="minorEastAsia" w:hAnsiTheme="minorHAnsi" w:cstheme="minorBidi"/>
          <w:b w:val="0"/>
          <w:sz w:val="22"/>
          <w:lang w:eastAsia="sv-SE"/>
        </w:rPr>
        <w:tab/>
      </w:r>
      <w:r>
        <w:t>Where ‘higher layer parameters* are mentioned, the explicit parameter name should preferably be referenced.</w:t>
      </w:r>
    </w:p>
    <w:p w14:paraId="3EC2589C" w14:textId="3F61C2AE" w:rsidR="00C01F33" w:rsidRPr="00A87A8A" w:rsidRDefault="008E065E" w:rsidP="006E062C">
      <w:pPr>
        <w:rPr>
          <w:b/>
          <w:bCs/>
        </w:rPr>
      </w:pPr>
      <w:r>
        <w:rPr>
          <w:b/>
          <w:bCs/>
        </w:rPr>
        <w:fldChar w:fldCharType="end"/>
      </w:r>
    </w:p>
    <w:p w14:paraId="40CE21A7" w14:textId="77777777" w:rsidR="00F507D1" w:rsidRPr="00CE0424" w:rsidRDefault="00F507D1" w:rsidP="00CE0424">
      <w:pPr>
        <w:pStyle w:val="Heading1"/>
      </w:pPr>
      <w:bookmarkStart w:id="59" w:name="_In-sequence_SDU_delivery"/>
      <w:bookmarkEnd w:id="59"/>
      <w:r w:rsidRPr="00CE0424">
        <w:t>References</w:t>
      </w:r>
    </w:p>
    <w:bookmarkStart w:id="60" w:name="_Ref506195254"/>
    <w:p w14:paraId="3F821E55" w14:textId="499F2EF1" w:rsidR="003A7EF3" w:rsidRDefault="004D62AC" w:rsidP="004D62AC">
      <w:pPr>
        <w:pStyle w:val="Reference"/>
        <w:numPr>
          <w:ilvl w:val="0"/>
          <w:numId w:val="15"/>
        </w:numPr>
        <w:textAlignment w:val="auto"/>
      </w:pPr>
      <w:r>
        <w:fldChar w:fldCharType="begin"/>
      </w:r>
      <w:r>
        <w:instrText xml:space="preserve"> HYPERLINK "ftp://www.3gpp.org/tsg_ran/TSG_RAN//TSGR_78/Docs/RP-172246.zip" </w:instrText>
      </w:r>
      <w:r>
        <w:fldChar w:fldCharType="separate"/>
      </w:r>
      <w:r>
        <w:rPr>
          <w:rStyle w:val="Hyperlink"/>
        </w:rPr>
        <w:t>RP-172246</w:t>
      </w:r>
      <w:r>
        <w:fldChar w:fldCharType="end"/>
      </w:r>
      <w:r>
        <w:t xml:space="preserve">, Status report of WI Shortened TTI and processing time for LTE; </w:t>
      </w:r>
      <w:r>
        <w:tab/>
        <w:t>rapporteur: Ericsson</w:t>
      </w:r>
      <w:bookmarkEnd w:id="60"/>
    </w:p>
    <w:bookmarkStart w:id="61" w:name="_Ref506195314"/>
    <w:p w14:paraId="32D97B06" w14:textId="4615B1C5" w:rsidR="004D62AC" w:rsidRDefault="004D62AC" w:rsidP="00CE0424">
      <w:pPr>
        <w:pStyle w:val="Reference"/>
        <w:numPr>
          <w:ilvl w:val="0"/>
          <w:numId w:val="15"/>
        </w:numPr>
        <w:textAlignment w:val="auto"/>
      </w:pPr>
      <w:r>
        <w:fldChar w:fldCharType="begin"/>
      </w:r>
      <w:r>
        <w:instrText xml:space="preserve"> HYPERLINK "ftp://www.3gpp.org/tsg_ran/TSG_RAN//TSGR_78/Docs/RP-172747.zip" </w:instrText>
      </w:r>
      <w:r>
        <w:fldChar w:fldCharType="separate"/>
      </w:r>
      <w:r>
        <w:rPr>
          <w:rStyle w:val="Hyperlink"/>
        </w:rPr>
        <w:t>RP-172747</w:t>
      </w:r>
      <w:r>
        <w:fldChar w:fldCharType="end"/>
      </w:r>
      <w:r w:rsidRPr="004D62AC">
        <w:t>, Summary for WI Shortened TTI and processing time for LTE, source Ericsson LM. RAN#78</w:t>
      </w:r>
      <w:bookmarkEnd w:id="61"/>
    </w:p>
    <w:p w14:paraId="4F961CCB" w14:textId="10D0F536" w:rsidR="004D62AC" w:rsidRPr="00CE0424" w:rsidRDefault="004D62AC" w:rsidP="00CE0424">
      <w:pPr>
        <w:pStyle w:val="Reference"/>
        <w:numPr>
          <w:ilvl w:val="0"/>
          <w:numId w:val="15"/>
        </w:numPr>
        <w:textAlignment w:val="auto"/>
      </w:pPr>
      <w:bookmarkStart w:id="62" w:name="_Ref506195289"/>
      <w:r>
        <w:t>Draft meeting report RAN#78</w:t>
      </w:r>
      <w:bookmarkEnd w:id="62"/>
    </w:p>
    <w:sectPr w:rsidR="004D62AC"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D35CA" w14:textId="77777777" w:rsidR="00E2226A" w:rsidRDefault="00E2226A">
      <w:r>
        <w:separator/>
      </w:r>
    </w:p>
  </w:endnote>
  <w:endnote w:type="continuationSeparator" w:id="0">
    <w:p w14:paraId="0FD5B3B6" w14:textId="77777777" w:rsidR="00E2226A" w:rsidRDefault="00E2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1AC10" w14:textId="77777777" w:rsidR="00E2226A" w:rsidRDefault="00E2226A">
      <w:r>
        <w:separator/>
      </w:r>
    </w:p>
  </w:footnote>
  <w:footnote w:type="continuationSeparator" w:id="0">
    <w:p w14:paraId="016EB1D3" w14:textId="77777777" w:rsidR="00E2226A" w:rsidRDefault="00E22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A0C89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98A27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696EE4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D84F7D"/>
    <w:multiLevelType w:val="multilevel"/>
    <w:tmpl w:val="51F23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A80DEB"/>
    <w:multiLevelType w:val="multilevel"/>
    <w:tmpl w:val="6A246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937D90"/>
    <w:multiLevelType w:val="multilevel"/>
    <w:tmpl w:val="AEFC8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261414"/>
    <w:multiLevelType w:val="multilevel"/>
    <w:tmpl w:val="11844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8"/>
  </w:num>
  <w:num w:numId="19">
    <w:abstractNumId w:val="5"/>
  </w:num>
  <w:num w:numId="20">
    <w:abstractNumId w:val="18"/>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17107"/>
    <w:rsid w:val="000241F8"/>
    <w:rsid w:val="0002564D"/>
    <w:rsid w:val="00025ECA"/>
    <w:rsid w:val="00027980"/>
    <w:rsid w:val="00031791"/>
    <w:rsid w:val="000325B8"/>
    <w:rsid w:val="00034C15"/>
    <w:rsid w:val="00036BA1"/>
    <w:rsid w:val="000422E2"/>
    <w:rsid w:val="00042F22"/>
    <w:rsid w:val="000444EF"/>
    <w:rsid w:val="00052A07"/>
    <w:rsid w:val="000534E3"/>
    <w:rsid w:val="0005606A"/>
    <w:rsid w:val="00057117"/>
    <w:rsid w:val="00057772"/>
    <w:rsid w:val="000616E7"/>
    <w:rsid w:val="0006487E"/>
    <w:rsid w:val="00065E1A"/>
    <w:rsid w:val="00077E5F"/>
    <w:rsid w:val="0008036A"/>
    <w:rsid w:val="00081AE6"/>
    <w:rsid w:val="000855EB"/>
    <w:rsid w:val="00085B52"/>
    <w:rsid w:val="0008662C"/>
    <w:rsid w:val="000866F2"/>
    <w:rsid w:val="0009009F"/>
    <w:rsid w:val="00091557"/>
    <w:rsid w:val="000924C1"/>
    <w:rsid w:val="000924F0"/>
    <w:rsid w:val="00093474"/>
    <w:rsid w:val="0009510F"/>
    <w:rsid w:val="000A1B7B"/>
    <w:rsid w:val="000A3D2E"/>
    <w:rsid w:val="000A56F2"/>
    <w:rsid w:val="000B2719"/>
    <w:rsid w:val="000B3A8F"/>
    <w:rsid w:val="000B4AB9"/>
    <w:rsid w:val="000B58C3"/>
    <w:rsid w:val="000B61E9"/>
    <w:rsid w:val="000C165A"/>
    <w:rsid w:val="000C2E19"/>
    <w:rsid w:val="000D0D07"/>
    <w:rsid w:val="000D4797"/>
    <w:rsid w:val="000E0527"/>
    <w:rsid w:val="000E1E92"/>
    <w:rsid w:val="000E7D6E"/>
    <w:rsid w:val="000F0567"/>
    <w:rsid w:val="000F06D6"/>
    <w:rsid w:val="000F0EB1"/>
    <w:rsid w:val="000F1106"/>
    <w:rsid w:val="000F2A81"/>
    <w:rsid w:val="000F3BE9"/>
    <w:rsid w:val="000F3F6C"/>
    <w:rsid w:val="000F6DF3"/>
    <w:rsid w:val="001005FF"/>
    <w:rsid w:val="001062FB"/>
    <w:rsid w:val="00106331"/>
    <w:rsid w:val="001063E6"/>
    <w:rsid w:val="00113CF4"/>
    <w:rsid w:val="001153EA"/>
    <w:rsid w:val="00115643"/>
    <w:rsid w:val="00116765"/>
    <w:rsid w:val="001219F5"/>
    <w:rsid w:val="00121A20"/>
    <w:rsid w:val="0012377F"/>
    <w:rsid w:val="00124314"/>
    <w:rsid w:val="00125B72"/>
    <w:rsid w:val="00126B4A"/>
    <w:rsid w:val="00127635"/>
    <w:rsid w:val="00132FD0"/>
    <w:rsid w:val="001344C0"/>
    <w:rsid w:val="001346FA"/>
    <w:rsid w:val="00135252"/>
    <w:rsid w:val="00137AB5"/>
    <w:rsid w:val="00137F0B"/>
    <w:rsid w:val="00144B7D"/>
    <w:rsid w:val="00151E23"/>
    <w:rsid w:val="001521A7"/>
    <w:rsid w:val="001526E0"/>
    <w:rsid w:val="001551B5"/>
    <w:rsid w:val="0015673F"/>
    <w:rsid w:val="001659C1"/>
    <w:rsid w:val="00165A07"/>
    <w:rsid w:val="00167B5B"/>
    <w:rsid w:val="0017078B"/>
    <w:rsid w:val="00173A8E"/>
    <w:rsid w:val="00177795"/>
    <w:rsid w:val="0018143F"/>
    <w:rsid w:val="00184C83"/>
    <w:rsid w:val="00190A15"/>
    <w:rsid w:val="00190AC1"/>
    <w:rsid w:val="00191067"/>
    <w:rsid w:val="0019341A"/>
    <w:rsid w:val="001963C7"/>
    <w:rsid w:val="00197DF9"/>
    <w:rsid w:val="001A1987"/>
    <w:rsid w:val="001A2564"/>
    <w:rsid w:val="001A6173"/>
    <w:rsid w:val="001A6CBA"/>
    <w:rsid w:val="001B0D97"/>
    <w:rsid w:val="001B5A5D"/>
    <w:rsid w:val="001B6F26"/>
    <w:rsid w:val="001C1CE5"/>
    <w:rsid w:val="001C3D2A"/>
    <w:rsid w:val="001D0561"/>
    <w:rsid w:val="001D51BA"/>
    <w:rsid w:val="001D6342"/>
    <w:rsid w:val="001D6D53"/>
    <w:rsid w:val="001E58E2"/>
    <w:rsid w:val="001E7AED"/>
    <w:rsid w:val="001F3916"/>
    <w:rsid w:val="001F4A9B"/>
    <w:rsid w:val="001F54C5"/>
    <w:rsid w:val="001F662C"/>
    <w:rsid w:val="001F7074"/>
    <w:rsid w:val="00200490"/>
    <w:rsid w:val="00201F3A"/>
    <w:rsid w:val="00203F96"/>
    <w:rsid w:val="00205B86"/>
    <w:rsid w:val="002069B2"/>
    <w:rsid w:val="00207030"/>
    <w:rsid w:val="00207FA3"/>
    <w:rsid w:val="00214DA8"/>
    <w:rsid w:val="00215423"/>
    <w:rsid w:val="002158FA"/>
    <w:rsid w:val="00220600"/>
    <w:rsid w:val="002224DB"/>
    <w:rsid w:val="00223FCB"/>
    <w:rsid w:val="002252C3"/>
    <w:rsid w:val="00225C54"/>
    <w:rsid w:val="00230765"/>
    <w:rsid w:val="00230797"/>
    <w:rsid w:val="002319E4"/>
    <w:rsid w:val="00235632"/>
    <w:rsid w:val="00235872"/>
    <w:rsid w:val="00241559"/>
    <w:rsid w:val="002435B3"/>
    <w:rsid w:val="002458EB"/>
    <w:rsid w:val="002500C8"/>
    <w:rsid w:val="00257543"/>
    <w:rsid w:val="002617E7"/>
    <w:rsid w:val="002620BF"/>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9DD"/>
    <w:rsid w:val="002A1D4E"/>
    <w:rsid w:val="002A2869"/>
    <w:rsid w:val="002B24D6"/>
    <w:rsid w:val="002B6A66"/>
    <w:rsid w:val="002C41E6"/>
    <w:rsid w:val="002D071A"/>
    <w:rsid w:val="002D34B2"/>
    <w:rsid w:val="002D7637"/>
    <w:rsid w:val="002E17F2"/>
    <w:rsid w:val="002E7CAE"/>
    <w:rsid w:val="002F1A86"/>
    <w:rsid w:val="002F2771"/>
    <w:rsid w:val="002F37A9"/>
    <w:rsid w:val="002F7E52"/>
    <w:rsid w:val="00301CE6"/>
    <w:rsid w:val="0030256B"/>
    <w:rsid w:val="0030501F"/>
    <w:rsid w:val="00307BA1"/>
    <w:rsid w:val="00311702"/>
    <w:rsid w:val="00311E82"/>
    <w:rsid w:val="00313FD6"/>
    <w:rsid w:val="003143BD"/>
    <w:rsid w:val="00316E27"/>
    <w:rsid w:val="003203ED"/>
    <w:rsid w:val="00322C9F"/>
    <w:rsid w:val="00324D23"/>
    <w:rsid w:val="00331751"/>
    <w:rsid w:val="00332BC3"/>
    <w:rsid w:val="00334579"/>
    <w:rsid w:val="00335858"/>
    <w:rsid w:val="00336BDA"/>
    <w:rsid w:val="003376D2"/>
    <w:rsid w:val="00342BD7"/>
    <w:rsid w:val="00343A07"/>
    <w:rsid w:val="00346DB5"/>
    <w:rsid w:val="003477B1"/>
    <w:rsid w:val="00357380"/>
    <w:rsid w:val="003602D9"/>
    <w:rsid w:val="003604CE"/>
    <w:rsid w:val="00365A7C"/>
    <w:rsid w:val="00370E47"/>
    <w:rsid w:val="003742AC"/>
    <w:rsid w:val="00377CE1"/>
    <w:rsid w:val="00381597"/>
    <w:rsid w:val="00381C5D"/>
    <w:rsid w:val="00383A22"/>
    <w:rsid w:val="00385BF0"/>
    <w:rsid w:val="00390A1F"/>
    <w:rsid w:val="003939FF"/>
    <w:rsid w:val="003A2223"/>
    <w:rsid w:val="003A2A0F"/>
    <w:rsid w:val="003A370B"/>
    <w:rsid w:val="003A45A1"/>
    <w:rsid w:val="003A4699"/>
    <w:rsid w:val="003A5B0A"/>
    <w:rsid w:val="003A6BAC"/>
    <w:rsid w:val="003A7EF3"/>
    <w:rsid w:val="003B159C"/>
    <w:rsid w:val="003B369F"/>
    <w:rsid w:val="003B36A3"/>
    <w:rsid w:val="003B7FE5"/>
    <w:rsid w:val="003C0824"/>
    <w:rsid w:val="003C11C8"/>
    <w:rsid w:val="003C2702"/>
    <w:rsid w:val="003C434D"/>
    <w:rsid w:val="003C7228"/>
    <w:rsid w:val="003C7806"/>
    <w:rsid w:val="003D109F"/>
    <w:rsid w:val="003D2478"/>
    <w:rsid w:val="003D3C45"/>
    <w:rsid w:val="003D5B1F"/>
    <w:rsid w:val="003E15FA"/>
    <w:rsid w:val="003E55E4"/>
    <w:rsid w:val="003E74E3"/>
    <w:rsid w:val="003F05C7"/>
    <w:rsid w:val="003F2CD4"/>
    <w:rsid w:val="003F6BBE"/>
    <w:rsid w:val="003F6E32"/>
    <w:rsid w:val="004000E8"/>
    <w:rsid w:val="00402E2B"/>
    <w:rsid w:val="0040512B"/>
    <w:rsid w:val="00405CA5"/>
    <w:rsid w:val="00407CD3"/>
    <w:rsid w:val="00410134"/>
    <w:rsid w:val="00410B72"/>
    <w:rsid w:val="00410F18"/>
    <w:rsid w:val="0041263E"/>
    <w:rsid w:val="00413AAC"/>
    <w:rsid w:val="00416E4B"/>
    <w:rsid w:val="00420646"/>
    <w:rsid w:val="00421105"/>
    <w:rsid w:val="004242F4"/>
    <w:rsid w:val="004266F0"/>
    <w:rsid w:val="00427248"/>
    <w:rsid w:val="00437447"/>
    <w:rsid w:val="00441A92"/>
    <w:rsid w:val="00444F56"/>
    <w:rsid w:val="00446488"/>
    <w:rsid w:val="004517AA"/>
    <w:rsid w:val="00452CAC"/>
    <w:rsid w:val="00457565"/>
    <w:rsid w:val="00457B71"/>
    <w:rsid w:val="004669E2"/>
    <w:rsid w:val="00470650"/>
    <w:rsid w:val="00470C31"/>
    <w:rsid w:val="004734D0"/>
    <w:rsid w:val="0047556B"/>
    <w:rsid w:val="00477768"/>
    <w:rsid w:val="00491B4B"/>
    <w:rsid w:val="00492BC5"/>
    <w:rsid w:val="00494E90"/>
    <w:rsid w:val="004964F1"/>
    <w:rsid w:val="004A16BC"/>
    <w:rsid w:val="004A2B94"/>
    <w:rsid w:val="004B6446"/>
    <w:rsid w:val="004B7C0C"/>
    <w:rsid w:val="004C2104"/>
    <w:rsid w:val="004C3898"/>
    <w:rsid w:val="004C68A3"/>
    <w:rsid w:val="004D36B1"/>
    <w:rsid w:val="004D62AC"/>
    <w:rsid w:val="004D7EBD"/>
    <w:rsid w:val="004E2680"/>
    <w:rsid w:val="004E28F4"/>
    <w:rsid w:val="004E28F9"/>
    <w:rsid w:val="004E462E"/>
    <w:rsid w:val="004E56DC"/>
    <w:rsid w:val="004E76F4"/>
    <w:rsid w:val="004F0B4E"/>
    <w:rsid w:val="004F0B6C"/>
    <w:rsid w:val="004F2078"/>
    <w:rsid w:val="004F4DA3"/>
    <w:rsid w:val="00500888"/>
    <w:rsid w:val="00506557"/>
    <w:rsid w:val="0050677A"/>
    <w:rsid w:val="005108D8"/>
    <w:rsid w:val="005116F9"/>
    <w:rsid w:val="005153A7"/>
    <w:rsid w:val="00520C5A"/>
    <w:rsid w:val="005219CF"/>
    <w:rsid w:val="00534B59"/>
    <w:rsid w:val="00536759"/>
    <w:rsid w:val="00536EF7"/>
    <w:rsid w:val="00537C62"/>
    <w:rsid w:val="0054008D"/>
    <w:rsid w:val="00546428"/>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2BAF"/>
    <w:rsid w:val="005B35D7"/>
    <w:rsid w:val="005B392A"/>
    <w:rsid w:val="005B3AA3"/>
    <w:rsid w:val="005B5B05"/>
    <w:rsid w:val="005B6F83"/>
    <w:rsid w:val="005C431C"/>
    <w:rsid w:val="005C74FB"/>
    <w:rsid w:val="005D1602"/>
    <w:rsid w:val="005D7B25"/>
    <w:rsid w:val="005E385F"/>
    <w:rsid w:val="005E5B81"/>
    <w:rsid w:val="005E7960"/>
    <w:rsid w:val="005F2CB1"/>
    <w:rsid w:val="005F3025"/>
    <w:rsid w:val="005F618C"/>
    <w:rsid w:val="005F6C57"/>
    <w:rsid w:val="005F70BD"/>
    <w:rsid w:val="0060283C"/>
    <w:rsid w:val="00604F14"/>
    <w:rsid w:val="00611B83"/>
    <w:rsid w:val="00613257"/>
    <w:rsid w:val="00620A71"/>
    <w:rsid w:val="00620D80"/>
    <w:rsid w:val="006212A9"/>
    <w:rsid w:val="006234A6"/>
    <w:rsid w:val="00624CAE"/>
    <w:rsid w:val="00630001"/>
    <w:rsid w:val="006311B3"/>
    <w:rsid w:val="0063284C"/>
    <w:rsid w:val="00636398"/>
    <w:rsid w:val="006368D3"/>
    <w:rsid w:val="006377EC"/>
    <w:rsid w:val="0064151F"/>
    <w:rsid w:val="00641533"/>
    <w:rsid w:val="0064208D"/>
    <w:rsid w:val="00643475"/>
    <w:rsid w:val="0064396A"/>
    <w:rsid w:val="0064624E"/>
    <w:rsid w:val="00650AB9"/>
    <w:rsid w:val="00650BD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A1A"/>
    <w:rsid w:val="006741F2"/>
    <w:rsid w:val="00674CC3"/>
    <w:rsid w:val="00675C72"/>
    <w:rsid w:val="006771F9"/>
    <w:rsid w:val="006776D7"/>
    <w:rsid w:val="00681003"/>
    <w:rsid w:val="006817C9"/>
    <w:rsid w:val="00682DD6"/>
    <w:rsid w:val="00683ECE"/>
    <w:rsid w:val="00695FC2"/>
    <w:rsid w:val="00696949"/>
    <w:rsid w:val="00697052"/>
    <w:rsid w:val="006A3CC8"/>
    <w:rsid w:val="006A46FB"/>
    <w:rsid w:val="006A5E28"/>
    <w:rsid w:val="006A697B"/>
    <w:rsid w:val="006A7AFF"/>
    <w:rsid w:val="006B1816"/>
    <w:rsid w:val="006B2099"/>
    <w:rsid w:val="006B50CF"/>
    <w:rsid w:val="006B5B0F"/>
    <w:rsid w:val="006C03B8"/>
    <w:rsid w:val="006C09A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3FE4"/>
    <w:rsid w:val="007348B1"/>
    <w:rsid w:val="007362A6"/>
    <w:rsid w:val="00736D7D"/>
    <w:rsid w:val="00740E58"/>
    <w:rsid w:val="00743894"/>
    <w:rsid w:val="00744365"/>
    <w:rsid w:val="007445A0"/>
    <w:rsid w:val="0074524B"/>
    <w:rsid w:val="00747D8B"/>
    <w:rsid w:val="00750CA3"/>
    <w:rsid w:val="00751228"/>
    <w:rsid w:val="007571E1"/>
    <w:rsid w:val="007604B2"/>
    <w:rsid w:val="00765281"/>
    <w:rsid w:val="00766BAD"/>
    <w:rsid w:val="007730BD"/>
    <w:rsid w:val="00774783"/>
    <w:rsid w:val="007755F2"/>
    <w:rsid w:val="00776971"/>
    <w:rsid w:val="00781457"/>
    <w:rsid w:val="0078177E"/>
    <w:rsid w:val="0078304C"/>
    <w:rsid w:val="00783673"/>
    <w:rsid w:val="00785490"/>
    <w:rsid w:val="007925EA"/>
    <w:rsid w:val="00793CD8"/>
    <w:rsid w:val="00793FD1"/>
    <w:rsid w:val="00795C92"/>
    <w:rsid w:val="00796231"/>
    <w:rsid w:val="007A1CB3"/>
    <w:rsid w:val="007A306F"/>
    <w:rsid w:val="007A43A6"/>
    <w:rsid w:val="007A58A6"/>
    <w:rsid w:val="007A7259"/>
    <w:rsid w:val="007B3D2D"/>
    <w:rsid w:val="007B50AE"/>
    <w:rsid w:val="007B51DF"/>
    <w:rsid w:val="007C05DD"/>
    <w:rsid w:val="007C3D18"/>
    <w:rsid w:val="007C563F"/>
    <w:rsid w:val="007C60BF"/>
    <w:rsid w:val="007C6A07"/>
    <w:rsid w:val="007C75A1"/>
    <w:rsid w:val="007C77A5"/>
    <w:rsid w:val="007D04E5"/>
    <w:rsid w:val="007D5901"/>
    <w:rsid w:val="007D7526"/>
    <w:rsid w:val="007E429C"/>
    <w:rsid w:val="007E4610"/>
    <w:rsid w:val="007E4715"/>
    <w:rsid w:val="007E505B"/>
    <w:rsid w:val="007E7091"/>
    <w:rsid w:val="007F1253"/>
    <w:rsid w:val="0080023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6E1"/>
    <w:rsid w:val="008677FD"/>
    <w:rsid w:val="008706D4"/>
    <w:rsid w:val="00870F8A"/>
    <w:rsid w:val="008719A4"/>
    <w:rsid w:val="00871D23"/>
    <w:rsid w:val="00874312"/>
    <w:rsid w:val="0087437C"/>
    <w:rsid w:val="00875CD7"/>
    <w:rsid w:val="00876B4D"/>
    <w:rsid w:val="00877F18"/>
    <w:rsid w:val="008838AC"/>
    <w:rsid w:val="00884CDE"/>
    <w:rsid w:val="008863AF"/>
    <w:rsid w:val="008903F3"/>
    <w:rsid w:val="00894A88"/>
    <w:rsid w:val="00895386"/>
    <w:rsid w:val="008A1D0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635"/>
    <w:rsid w:val="008C4958"/>
    <w:rsid w:val="008C4BAA"/>
    <w:rsid w:val="008C6AE8"/>
    <w:rsid w:val="008C7573"/>
    <w:rsid w:val="008D34F1"/>
    <w:rsid w:val="008D39D8"/>
    <w:rsid w:val="008D5293"/>
    <w:rsid w:val="008D6689"/>
    <w:rsid w:val="008D6D1A"/>
    <w:rsid w:val="008E065E"/>
    <w:rsid w:val="008E0927"/>
    <w:rsid w:val="008E1909"/>
    <w:rsid w:val="008E3CE5"/>
    <w:rsid w:val="008E699E"/>
    <w:rsid w:val="008F1EAB"/>
    <w:rsid w:val="008F33DC"/>
    <w:rsid w:val="008F477F"/>
    <w:rsid w:val="008F5F09"/>
    <w:rsid w:val="009011D5"/>
    <w:rsid w:val="00902350"/>
    <w:rsid w:val="0090336B"/>
    <w:rsid w:val="009053AA"/>
    <w:rsid w:val="00906939"/>
    <w:rsid w:val="00910B7D"/>
    <w:rsid w:val="00911DFB"/>
    <w:rsid w:val="009139D9"/>
    <w:rsid w:val="00914AD8"/>
    <w:rsid w:val="00916079"/>
    <w:rsid w:val="00917011"/>
    <w:rsid w:val="00917CE9"/>
    <w:rsid w:val="00920BF2"/>
    <w:rsid w:val="00922010"/>
    <w:rsid w:val="00923B7D"/>
    <w:rsid w:val="0092477C"/>
    <w:rsid w:val="00931BD9"/>
    <w:rsid w:val="00932539"/>
    <w:rsid w:val="009368F3"/>
    <w:rsid w:val="00941636"/>
    <w:rsid w:val="00943742"/>
    <w:rsid w:val="00945C05"/>
    <w:rsid w:val="00946945"/>
    <w:rsid w:val="00947713"/>
    <w:rsid w:val="00950DE7"/>
    <w:rsid w:val="00952711"/>
    <w:rsid w:val="00953920"/>
    <w:rsid w:val="00953D47"/>
    <w:rsid w:val="0095681E"/>
    <w:rsid w:val="009572D4"/>
    <w:rsid w:val="0095776E"/>
    <w:rsid w:val="0096073B"/>
    <w:rsid w:val="00961921"/>
    <w:rsid w:val="009632A5"/>
    <w:rsid w:val="0096430A"/>
    <w:rsid w:val="0096554B"/>
    <w:rsid w:val="0096584A"/>
    <w:rsid w:val="00971F08"/>
    <w:rsid w:val="00972FAF"/>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3E19"/>
    <w:rsid w:val="009D4FF0"/>
    <w:rsid w:val="009D703C"/>
    <w:rsid w:val="009D718F"/>
    <w:rsid w:val="009E068F"/>
    <w:rsid w:val="009E14E0"/>
    <w:rsid w:val="009E35DB"/>
    <w:rsid w:val="009E47A3"/>
    <w:rsid w:val="009F08F3"/>
    <w:rsid w:val="009F344F"/>
    <w:rsid w:val="00A0309F"/>
    <w:rsid w:val="00A048A8"/>
    <w:rsid w:val="00A04F49"/>
    <w:rsid w:val="00A13E54"/>
    <w:rsid w:val="00A17F63"/>
    <w:rsid w:val="00A2193B"/>
    <w:rsid w:val="00A2351A"/>
    <w:rsid w:val="00A264A9"/>
    <w:rsid w:val="00A27785"/>
    <w:rsid w:val="00A30187"/>
    <w:rsid w:val="00A3448A"/>
    <w:rsid w:val="00A36297"/>
    <w:rsid w:val="00A41E2B"/>
    <w:rsid w:val="00A422E6"/>
    <w:rsid w:val="00A45B74"/>
    <w:rsid w:val="00A52E1D"/>
    <w:rsid w:val="00A61499"/>
    <w:rsid w:val="00A62A77"/>
    <w:rsid w:val="00A63483"/>
    <w:rsid w:val="00A657D7"/>
    <w:rsid w:val="00A660AC"/>
    <w:rsid w:val="00A67E6C"/>
    <w:rsid w:val="00A71B99"/>
    <w:rsid w:val="00A72ABF"/>
    <w:rsid w:val="00A739D0"/>
    <w:rsid w:val="00A761D4"/>
    <w:rsid w:val="00A77EC4"/>
    <w:rsid w:val="00A87A8A"/>
    <w:rsid w:val="00A901B3"/>
    <w:rsid w:val="00A92879"/>
    <w:rsid w:val="00A9442A"/>
    <w:rsid w:val="00AA016F"/>
    <w:rsid w:val="00AA1ED6"/>
    <w:rsid w:val="00AA51D6"/>
    <w:rsid w:val="00AB0BC8"/>
    <w:rsid w:val="00AB11CA"/>
    <w:rsid w:val="00AB14D9"/>
    <w:rsid w:val="00AB41DD"/>
    <w:rsid w:val="00AB4AB8"/>
    <w:rsid w:val="00AB655E"/>
    <w:rsid w:val="00AC007F"/>
    <w:rsid w:val="00AC2ECD"/>
    <w:rsid w:val="00AC3119"/>
    <w:rsid w:val="00AC3168"/>
    <w:rsid w:val="00AC49FB"/>
    <w:rsid w:val="00AC51BE"/>
    <w:rsid w:val="00AC5A10"/>
    <w:rsid w:val="00AD0AA3"/>
    <w:rsid w:val="00AD3F94"/>
    <w:rsid w:val="00AD4A5A"/>
    <w:rsid w:val="00AD593A"/>
    <w:rsid w:val="00AE27AC"/>
    <w:rsid w:val="00AE2834"/>
    <w:rsid w:val="00AE40E0"/>
    <w:rsid w:val="00AE4DBA"/>
    <w:rsid w:val="00AE4F07"/>
    <w:rsid w:val="00AF1C5D"/>
    <w:rsid w:val="00AF42D7"/>
    <w:rsid w:val="00B006FE"/>
    <w:rsid w:val="00B007CB"/>
    <w:rsid w:val="00B02AA9"/>
    <w:rsid w:val="00B02FA3"/>
    <w:rsid w:val="00B05084"/>
    <w:rsid w:val="00B157F9"/>
    <w:rsid w:val="00B1742E"/>
    <w:rsid w:val="00B20256"/>
    <w:rsid w:val="00B20D09"/>
    <w:rsid w:val="00B274D3"/>
    <w:rsid w:val="00B2763F"/>
    <w:rsid w:val="00B27AAC"/>
    <w:rsid w:val="00B304F3"/>
    <w:rsid w:val="00B30929"/>
    <w:rsid w:val="00B36ED4"/>
    <w:rsid w:val="00B372AA"/>
    <w:rsid w:val="00B40445"/>
    <w:rsid w:val="00B40BEF"/>
    <w:rsid w:val="00B41888"/>
    <w:rsid w:val="00B45A52"/>
    <w:rsid w:val="00B46175"/>
    <w:rsid w:val="00B6188F"/>
    <w:rsid w:val="00B636DD"/>
    <w:rsid w:val="00B664C7"/>
    <w:rsid w:val="00B739F6"/>
    <w:rsid w:val="00B81A6C"/>
    <w:rsid w:val="00B85DE5"/>
    <w:rsid w:val="00B90F73"/>
    <w:rsid w:val="00B92ABF"/>
    <w:rsid w:val="00B93B59"/>
    <w:rsid w:val="00B9406A"/>
    <w:rsid w:val="00B97752"/>
    <w:rsid w:val="00BA2280"/>
    <w:rsid w:val="00BA2A08"/>
    <w:rsid w:val="00BA56D2"/>
    <w:rsid w:val="00BA76E0"/>
    <w:rsid w:val="00BB2A25"/>
    <w:rsid w:val="00BB51E9"/>
    <w:rsid w:val="00BB5EB8"/>
    <w:rsid w:val="00BC0FDC"/>
    <w:rsid w:val="00BC3053"/>
    <w:rsid w:val="00BC4D2E"/>
    <w:rsid w:val="00BC62DD"/>
    <w:rsid w:val="00BD48AC"/>
    <w:rsid w:val="00BD5CF8"/>
    <w:rsid w:val="00BD5F1A"/>
    <w:rsid w:val="00BE1234"/>
    <w:rsid w:val="00BE2FA6"/>
    <w:rsid w:val="00BE304A"/>
    <w:rsid w:val="00BE333F"/>
    <w:rsid w:val="00BE7406"/>
    <w:rsid w:val="00BE7603"/>
    <w:rsid w:val="00BF162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1047"/>
    <w:rsid w:val="00C72EF4"/>
    <w:rsid w:val="00C75D2F"/>
    <w:rsid w:val="00C767BE"/>
    <w:rsid w:val="00C76E3C"/>
    <w:rsid w:val="00C81568"/>
    <w:rsid w:val="00C8391E"/>
    <w:rsid w:val="00C865F0"/>
    <w:rsid w:val="00C9027A"/>
    <w:rsid w:val="00C9068E"/>
    <w:rsid w:val="00C92DFD"/>
    <w:rsid w:val="00C93C4B"/>
    <w:rsid w:val="00C944AB"/>
    <w:rsid w:val="00C95B40"/>
    <w:rsid w:val="00CA1ED8"/>
    <w:rsid w:val="00CB1F63"/>
    <w:rsid w:val="00CB7170"/>
    <w:rsid w:val="00CC040E"/>
    <w:rsid w:val="00CC0999"/>
    <w:rsid w:val="00CC111F"/>
    <w:rsid w:val="00CC2011"/>
    <w:rsid w:val="00CC3EA0"/>
    <w:rsid w:val="00CC7B45"/>
    <w:rsid w:val="00CD1188"/>
    <w:rsid w:val="00CD2ED1"/>
    <w:rsid w:val="00CD337B"/>
    <w:rsid w:val="00CE0424"/>
    <w:rsid w:val="00CE7561"/>
    <w:rsid w:val="00CE7FF8"/>
    <w:rsid w:val="00CF1354"/>
    <w:rsid w:val="00CF3B1F"/>
    <w:rsid w:val="00CF3BF6"/>
    <w:rsid w:val="00CF625B"/>
    <w:rsid w:val="00CF687E"/>
    <w:rsid w:val="00D0349B"/>
    <w:rsid w:val="00D10249"/>
    <w:rsid w:val="00D115C3"/>
    <w:rsid w:val="00D11897"/>
    <w:rsid w:val="00D13135"/>
    <w:rsid w:val="00D13E4E"/>
    <w:rsid w:val="00D239A7"/>
    <w:rsid w:val="00D23F47"/>
    <w:rsid w:val="00D2458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336D"/>
    <w:rsid w:val="00D86CA3"/>
    <w:rsid w:val="00D871CE"/>
    <w:rsid w:val="00D9196D"/>
    <w:rsid w:val="00D92982"/>
    <w:rsid w:val="00D9376A"/>
    <w:rsid w:val="00DA305E"/>
    <w:rsid w:val="00DA5312"/>
    <w:rsid w:val="00DA5417"/>
    <w:rsid w:val="00DA56E8"/>
    <w:rsid w:val="00DB0A9F"/>
    <w:rsid w:val="00DB377D"/>
    <w:rsid w:val="00DC14AE"/>
    <w:rsid w:val="00DC2D36"/>
    <w:rsid w:val="00DC53EF"/>
    <w:rsid w:val="00DC69C8"/>
    <w:rsid w:val="00DE459B"/>
    <w:rsid w:val="00DE5608"/>
    <w:rsid w:val="00DE58D0"/>
    <w:rsid w:val="00DE654F"/>
    <w:rsid w:val="00DF0B6E"/>
    <w:rsid w:val="00DF15A8"/>
    <w:rsid w:val="00DF15E0"/>
    <w:rsid w:val="00DF37A0"/>
    <w:rsid w:val="00DF71A0"/>
    <w:rsid w:val="00E010B4"/>
    <w:rsid w:val="00E06653"/>
    <w:rsid w:val="00E110E7"/>
    <w:rsid w:val="00E11B20"/>
    <w:rsid w:val="00E17FA2"/>
    <w:rsid w:val="00E2226A"/>
    <w:rsid w:val="00E22330"/>
    <w:rsid w:val="00E30B5A"/>
    <w:rsid w:val="00E3123D"/>
    <w:rsid w:val="00E31461"/>
    <w:rsid w:val="00E31D43"/>
    <w:rsid w:val="00E32608"/>
    <w:rsid w:val="00E34188"/>
    <w:rsid w:val="00E34B6E"/>
    <w:rsid w:val="00E3553F"/>
    <w:rsid w:val="00E35559"/>
    <w:rsid w:val="00E3723A"/>
    <w:rsid w:val="00E37860"/>
    <w:rsid w:val="00E446F1"/>
    <w:rsid w:val="00E46886"/>
    <w:rsid w:val="00E47AEF"/>
    <w:rsid w:val="00E520BB"/>
    <w:rsid w:val="00E53B75"/>
    <w:rsid w:val="00E54E3B"/>
    <w:rsid w:val="00E5720C"/>
    <w:rsid w:val="00E57565"/>
    <w:rsid w:val="00E621FA"/>
    <w:rsid w:val="00E63838"/>
    <w:rsid w:val="00E6428B"/>
    <w:rsid w:val="00E64434"/>
    <w:rsid w:val="00E660D3"/>
    <w:rsid w:val="00E67C51"/>
    <w:rsid w:val="00E72EFC"/>
    <w:rsid w:val="00E758EC"/>
    <w:rsid w:val="00E8234C"/>
    <w:rsid w:val="00E83AA9"/>
    <w:rsid w:val="00E85928"/>
    <w:rsid w:val="00E87822"/>
    <w:rsid w:val="00E90395"/>
    <w:rsid w:val="00E90E49"/>
    <w:rsid w:val="00E917F9"/>
    <w:rsid w:val="00E9291C"/>
    <w:rsid w:val="00E93B0B"/>
    <w:rsid w:val="00E93FFE"/>
    <w:rsid w:val="00E94F8A"/>
    <w:rsid w:val="00EA7302"/>
    <w:rsid w:val="00EA7A41"/>
    <w:rsid w:val="00EB077B"/>
    <w:rsid w:val="00EB4EA2"/>
    <w:rsid w:val="00EB56FE"/>
    <w:rsid w:val="00EB7C01"/>
    <w:rsid w:val="00EC27C6"/>
    <w:rsid w:val="00EC3986"/>
    <w:rsid w:val="00EC4207"/>
    <w:rsid w:val="00EC5653"/>
    <w:rsid w:val="00EC71CE"/>
    <w:rsid w:val="00ED1006"/>
    <w:rsid w:val="00EF18FE"/>
    <w:rsid w:val="00EF561A"/>
    <w:rsid w:val="00EF5787"/>
    <w:rsid w:val="00EF60D0"/>
    <w:rsid w:val="00F0528D"/>
    <w:rsid w:val="00F06C67"/>
    <w:rsid w:val="00F06DFD"/>
    <w:rsid w:val="00F071D1"/>
    <w:rsid w:val="00F07533"/>
    <w:rsid w:val="00F10629"/>
    <w:rsid w:val="00F13F04"/>
    <w:rsid w:val="00F154BD"/>
    <w:rsid w:val="00F15FA5"/>
    <w:rsid w:val="00F178F0"/>
    <w:rsid w:val="00F209B7"/>
    <w:rsid w:val="00F2376F"/>
    <w:rsid w:val="00F243D8"/>
    <w:rsid w:val="00F30828"/>
    <w:rsid w:val="00F313D6"/>
    <w:rsid w:val="00F31515"/>
    <w:rsid w:val="00F377DF"/>
    <w:rsid w:val="00F40F0C"/>
    <w:rsid w:val="00F4766C"/>
    <w:rsid w:val="00F507D1"/>
    <w:rsid w:val="00F519CE"/>
    <w:rsid w:val="00F51ADA"/>
    <w:rsid w:val="00F607C5"/>
    <w:rsid w:val="00F60DEA"/>
    <w:rsid w:val="00F62196"/>
    <w:rsid w:val="00F6302A"/>
    <w:rsid w:val="00F64624"/>
    <w:rsid w:val="00F64C2B"/>
    <w:rsid w:val="00F651BE"/>
    <w:rsid w:val="00F651FE"/>
    <w:rsid w:val="00F67F53"/>
    <w:rsid w:val="00F703BE"/>
    <w:rsid w:val="00F71F69"/>
    <w:rsid w:val="00F72B72"/>
    <w:rsid w:val="00F74BB9"/>
    <w:rsid w:val="00F75582"/>
    <w:rsid w:val="00F76EFA"/>
    <w:rsid w:val="00F804BE"/>
    <w:rsid w:val="00F817CE"/>
    <w:rsid w:val="00F8426F"/>
    <w:rsid w:val="00F8456C"/>
    <w:rsid w:val="00F859D8"/>
    <w:rsid w:val="00F868F5"/>
    <w:rsid w:val="00F9056A"/>
    <w:rsid w:val="00F90F8D"/>
    <w:rsid w:val="00F92782"/>
    <w:rsid w:val="00F93AA9"/>
    <w:rsid w:val="00F96985"/>
    <w:rsid w:val="00F97838"/>
    <w:rsid w:val="00FA2BB3"/>
    <w:rsid w:val="00FB4435"/>
    <w:rsid w:val="00FB4C80"/>
    <w:rsid w:val="00FB6A6A"/>
    <w:rsid w:val="00FC1592"/>
    <w:rsid w:val="00FC7429"/>
    <w:rsid w:val="00FD05E9"/>
    <w:rsid w:val="00FD07F6"/>
    <w:rsid w:val="00FD1EC8"/>
    <w:rsid w:val="00FD2A52"/>
    <w:rsid w:val="00FD47ED"/>
    <w:rsid w:val="00FD4982"/>
    <w:rsid w:val="00FD74DB"/>
    <w:rsid w:val="00FD7660"/>
    <w:rsid w:val="00FE0655"/>
    <w:rsid w:val="00FE2365"/>
    <w:rsid w:val="00FE4C7B"/>
    <w:rsid w:val="00FE5A4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uiPriority w:val="39"/>
    <w:rsid w:val="008A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uiPriority w:val="99"/>
    <w:rsid w:val="00FD05E9"/>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TALChar">
    <w:name w:val="TAL Char"/>
    <w:basedOn w:val="DefaultParagraphFont"/>
    <w:link w:val="TAL"/>
    <w:locked/>
    <w:rsid w:val="00FD05E9"/>
    <w:rPr>
      <w:rFonts w:ascii="Arial" w:hAnsi="Arial"/>
      <w:sz w:val="18"/>
      <w:lang w:val="en-GB" w:eastAsia="en-US"/>
    </w:rPr>
  </w:style>
  <w:style w:type="character" w:styleId="UnresolvedMention">
    <w:name w:val="Unresolved Mention"/>
    <w:basedOn w:val="DefaultParagraphFont"/>
    <w:uiPriority w:val="99"/>
    <w:semiHidden/>
    <w:unhideWhenUsed/>
    <w:rsid w:val="004D62AC"/>
    <w:rPr>
      <w:color w:val="808080"/>
      <w:shd w:val="clear" w:color="auto" w:fill="E6E6E6"/>
    </w:rPr>
  </w:style>
  <w:style w:type="paragraph" w:customStyle="1" w:styleId="PL">
    <w:name w:val="PL"/>
    <w:link w:val="PLChar"/>
    <w:rsid w:val="00F62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ListNumber4">
    <w:name w:val="List Number 4"/>
    <w:basedOn w:val="Normal"/>
    <w:rsid w:val="00F62196"/>
    <w:pPr>
      <w:tabs>
        <w:tab w:val="num" w:pos="1209"/>
      </w:tabs>
      <w:spacing w:after="180"/>
      <w:ind w:left="1209" w:hanging="360"/>
      <w:jc w:val="left"/>
    </w:pPr>
    <w:rPr>
      <w:rFonts w:ascii="Times New Roman" w:hAnsi="Times New Roman"/>
      <w:lang w:eastAsia="en-US"/>
    </w:rPr>
  </w:style>
  <w:style w:type="character" w:customStyle="1" w:styleId="PLChar">
    <w:name w:val="PL Char"/>
    <w:link w:val="PL"/>
    <w:rsid w:val="00F6219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E6636-B5DC-4A2B-AEBD-E36F29BA8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1113</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2018-02-16T14:42:00Z</dcterms:created>
  <dcterms:modified xsi:type="dcterms:W3CDTF">2018-02-16T14:42:00Z</dcterms:modified>
</cp:coreProperties>
</file>